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091" w:rsidRPr="00CE6165" w:rsidRDefault="00374D9C" w:rsidP="006328B1">
      <w:pPr>
        <w:spacing w:before="100" w:beforeAutospacing="1" w:after="100" w:afterAutospacing="1" w:line="276" w:lineRule="auto"/>
        <w:jc w:val="center"/>
        <w:rPr>
          <w:rFonts w:asciiTheme="majorBidi" w:hAnsiTheme="majorBidi" w:cstheme="majorBidi"/>
          <w:b/>
          <w:sz w:val="24"/>
          <w:szCs w:val="24"/>
        </w:rPr>
      </w:pPr>
      <w:r>
        <w:rPr>
          <w:rFonts w:asciiTheme="majorBidi" w:hAnsiTheme="majorBidi" w:cstheme="majorBidi"/>
          <w:b/>
          <w:sz w:val="24"/>
          <w:szCs w:val="24"/>
        </w:rPr>
        <w:t>Comparative Effects</w:t>
      </w:r>
      <w:r w:rsidR="00185091" w:rsidRPr="00CE6165">
        <w:rPr>
          <w:rFonts w:asciiTheme="majorBidi" w:hAnsiTheme="majorBidi" w:cstheme="majorBidi"/>
          <w:b/>
          <w:sz w:val="24"/>
          <w:szCs w:val="24"/>
        </w:rPr>
        <w:t xml:space="preserve"> of Cognitive-Behavior Therapy </w:t>
      </w:r>
      <w:r w:rsidR="00185091" w:rsidRPr="00CE6165">
        <w:rPr>
          <w:rFonts w:ascii="Times New Roman Bold" w:eastAsia="Calibri" w:hAnsi="Times New Roman Bold" w:cs="Arial"/>
          <w:color w:val="000000"/>
          <w:sz w:val="26"/>
          <w:szCs w:val="26"/>
        </w:rPr>
        <w:t>Focused on</w:t>
      </w:r>
      <w:r w:rsidR="00185091" w:rsidRPr="00CE6165">
        <w:rPr>
          <w:rFonts w:asciiTheme="majorBidi" w:hAnsiTheme="majorBidi" w:cstheme="majorBidi"/>
          <w:b/>
          <w:sz w:val="24"/>
          <w:szCs w:val="24"/>
        </w:rPr>
        <w:t xml:space="preserve"> Intolerance of Uncertainty and </w:t>
      </w:r>
      <w:r w:rsidR="00F26B64" w:rsidRPr="00CE6165">
        <w:rPr>
          <w:rFonts w:asciiTheme="majorBidi" w:hAnsiTheme="majorBidi" w:cstheme="majorBidi"/>
          <w:b/>
          <w:sz w:val="24"/>
          <w:szCs w:val="24"/>
        </w:rPr>
        <w:t xml:space="preserve">Pharmacotherapy </w:t>
      </w:r>
      <w:r w:rsidR="00185091" w:rsidRPr="00CE6165">
        <w:rPr>
          <w:rFonts w:asciiTheme="majorBidi" w:hAnsiTheme="majorBidi" w:cstheme="majorBidi"/>
          <w:b/>
          <w:sz w:val="24"/>
          <w:szCs w:val="24"/>
        </w:rPr>
        <w:t>on Worry, Positive Beliefs and Negative Orientation in Generalized Anxiety Disorder</w:t>
      </w:r>
    </w:p>
    <w:p w:rsidR="00185091" w:rsidRPr="00BB5152" w:rsidRDefault="00BB5152" w:rsidP="00BB5152">
      <w:pPr>
        <w:spacing w:before="100" w:beforeAutospacing="1" w:after="100" w:afterAutospacing="1" w:line="276" w:lineRule="auto"/>
        <w:jc w:val="both"/>
        <w:rPr>
          <w:rFonts w:asciiTheme="majorBidi" w:eastAsia="Calibri" w:hAnsiTheme="majorBidi" w:cstheme="majorBidi"/>
          <w:b/>
          <w:bCs/>
          <w:sz w:val="20"/>
          <w:rtl/>
          <w:lang w:bidi="fa-IR"/>
        </w:rPr>
      </w:pPr>
      <w:r w:rsidRPr="00BB5152">
        <w:rPr>
          <w:rFonts w:asciiTheme="majorBidi" w:eastAsia="Calibri" w:hAnsiTheme="majorBidi" w:cstheme="majorBidi"/>
          <w:b/>
          <w:bCs/>
          <w:sz w:val="20"/>
          <w:lang w:bidi="fa-IR"/>
        </w:rPr>
        <w:t xml:space="preserve">Mehdi </w:t>
      </w:r>
      <w:proofErr w:type="spellStart"/>
      <w:r w:rsidRPr="00BB5152">
        <w:rPr>
          <w:rFonts w:asciiTheme="majorBidi" w:eastAsia="Calibri" w:hAnsiTheme="majorBidi" w:cstheme="majorBidi"/>
          <w:b/>
          <w:bCs/>
          <w:sz w:val="20"/>
          <w:lang w:bidi="fa-IR"/>
        </w:rPr>
        <w:t>Zemestani</w:t>
      </w:r>
      <w:proofErr w:type="spellEnd"/>
      <w:r w:rsidRPr="00BB5152">
        <w:rPr>
          <w:rFonts w:asciiTheme="majorBidi" w:eastAsia="Calibri" w:hAnsiTheme="majorBidi" w:cstheme="majorBidi"/>
          <w:b/>
          <w:bCs/>
          <w:sz w:val="20"/>
          <w:lang w:bidi="fa-IR"/>
        </w:rPr>
        <w:t>*</w:t>
      </w:r>
      <w:r w:rsidRPr="00BB5152">
        <w:rPr>
          <w:rFonts w:asciiTheme="majorBidi" w:eastAsia="Calibri" w:hAnsiTheme="majorBidi" w:cstheme="majorBidi"/>
          <w:b/>
          <w:bCs/>
          <w:sz w:val="20"/>
          <w:vertAlign w:val="superscript"/>
          <w:lang w:bidi="fa-IR"/>
        </w:rPr>
        <w:footnoteReference w:id="1"/>
      </w:r>
      <w:r w:rsidRPr="00BB5152">
        <w:rPr>
          <w:rFonts w:asciiTheme="majorBidi" w:eastAsia="Calibri" w:hAnsiTheme="majorBidi" w:cstheme="majorBidi"/>
          <w:b/>
          <w:bCs/>
          <w:sz w:val="20"/>
          <w:lang w:bidi="fa-IR"/>
        </w:rPr>
        <w:t xml:space="preserve">, </w:t>
      </w:r>
      <w:proofErr w:type="spellStart"/>
      <w:r w:rsidRPr="00BB5152">
        <w:rPr>
          <w:rFonts w:asciiTheme="majorBidi" w:eastAsia="Calibri" w:hAnsiTheme="majorBidi" w:cstheme="majorBidi"/>
          <w:b/>
          <w:bCs/>
          <w:sz w:val="20"/>
          <w:lang w:bidi="fa-IR"/>
        </w:rPr>
        <w:t>Farzin</w:t>
      </w:r>
      <w:proofErr w:type="spellEnd"/>
      <w:r w:rsidRPr="00BB5152">
        <w:rPr>
          <w:rFonts w:asciiTheme="majorBidi" w:eastAsia="Calibri" w:hAnsiTheme="majorBidi" w:cstheme="majorBidi"/>
          <w:b/>
          <w:bCs/>
          <w:sz w:val="20"/>
          <w:lang w:bidi="fa-IR"/>
        </w:rPr>
        <w:t xml:space="preserve"> </w:t>
      </w:r>
      <w:proofErr w:type="spellStart"/>
      <w:r w:rsidRPr="00BB5152">
        <w:rPr>
          <w:rFonts w:asciiTheme="majorBidi" w:eastAsia="Calibri" w:hAnsiTheme="majorBidi" w:cstheme="majorBidi"/>
          <w:b/>
          <w:bCs/>
          <w:sz w:val="20"/>
          <w:lang w:bidi="fa-IR"/>
        </w:rPr>
        <w:t>Rezaei</w:t>
      </w:r>
      <w:proofErr w:type="spellEnd"/>
      <w:r w:rsidRPr="00BB5152">
        <w:rPr>
          <w:rFonts w:asciiTheme="majorBidi" w:eastAsia="Calibri" w:hAnsiTheme="majorBidi" w:cstheme="majorBidi"/>
          <w:b/>
          <w:bCs/>
          <w:sz w:val="20"/>
          <w:vertAlign w:val="superscript"/>
          <w:lang w:bidi="fa-IR"/>
        </w:rPr>
        <w:footnoteReference w:id="2"/>
      </w:r>
      <w:r w:rsidRPr="00BB5152">
        <w:rPr>
          <w:rFonts w:asciiTheme="majorBidi" w:eastAsia="Calibri" w:hAnsiTheme="majorBidi" w:cstheme="majorBidi"/>
          <w:b/>
          <w:bCs/>
          <w:sz w:val="20"/>
          <w:vertAlign w:val="superscript"/>
          <w:lang w:bidi="fa-IR"/>
        </w:rPr>
        <w:t xml:space="preserve">, </w:t>
      </w:r>
      <w:r w:rsidRPr="00BB5152">
        <w:rPr>
          <w:rFonts w:asciiTheme="majorBidi" w:eastAsia="Calibri" w:hAnsiTheme="majorBidi" w:cstheme="majorBidi"/>
          <w:b/>
          <w:bCs/>
          <w:sz w:val="20"/>
          <w:vertAlign w:val="superscript"/>
          <w:lang w:bidi="fa-IR"/>
        </w:rPr>
        <w:footnoteReference w:id="3"/>
      </w:r>
      <w:r w:rsidRPr="00BB5152">
        <w:rPr>
          <w:rFonts w:asciiTheme="majorBidi" w:eastAsia="Calibri" w:hAnsiTheme="majorBidi" w:cstheme="majorBidi"/>
          <w:b/>
          <w:bCs/>
          <w:sz w:val="20"/>
          <w:vertAlign w:val="subscript"/>
          <w:lang w:bidi="fa-IR"/>
        </w:rPr>
        <w:t xml:space="preserve">, </w:t>
      </w:r>
      <w:r w:rsidRPr="00BB5152">
        <w:rPr>
          <w:rFonts w:asciiTheme="majorBidi" w:eastAsia="Calibri" w:hAnsiTheme="majorBidi" w:cstheme="majorBidi"/>
          <w:b/>
          <w:bCs/>
          <w:sz w:val="20"/>
          <w:lang w:bidi="fa-IR"/>
        </w:rPr>
        <w:t xml:space="preserve">Negar </w:t>
      </w:r>
      <w:proofErr w:type="spellStart"/>
      <w:r w:rsidRPr="00BB5152">
        <w:rPr>
          <w:rFonts w:asciiTheme="majorBidi" w:eastAsia="Calibri" w:hAnsiTheme="majorBidi" w:cstheme="majorBidi"/>
          <w:b/>
          <w:bCs/>
          <w:sz w:val="20"/>
          <w:lang w:bidi="fa-IR"/>
        </w:rPr>
        <w:t>Beheshti</w:t>
      </w:r>
      <w:proofErr w:type="spellEnd"/>
      <w:r w:rsidRPr="00BB5152">
        <w:rPr>
          <w:rFonts w:asciiTheme="majorBidi" w:eastAsia="Calibri" w:hAnsiTheme="majorBidi" w:cstheme="majorBidi"/>
          <w:b/>
          <w:bCs/>
          <w:sz w:val="20"/>
          <w:vertAlign w:val="superscript"/>
          <w:lang w:bidi="fa-IR"/>
        </w:rPr>
        <w:footnoteReference w:id="4"/>
      </w:r>
    </w:p>
    <w:p w:rsidR="00185091" w:rsidRPr="00CE6165" w:rsidRDefault="00185091" w:rsidP="00BB5152">
      <w:pPr>
        <w:spacing w:before="100" w:beforeAutospacing="1" w:after="0" w:line="240" w:lineRule="auto"/>
        <w:jc w:val="both"/>
        <w:rPr>
          <w:rFonts w:asciiTheme="majorBidi" w:eastAsia="Calibri" w:hAnsiTheme="majorBidi" w:cstheme="majorBidi"/>
          <w:b/>
          <w:sz w:val="28"/>
          <w:szCs w:val="28"/>
        </w:rPr>
      </w:pPr>
      <w:r w:rsidRPr="00CE6165">
        <w:rPr>
          <w:rFonts w:asciiTheme="majorBidi" w:hAnsiTheme="majorBidi" w:cstheme="majorBidi"/>
          <w:b/>
          <w:sz w:val="28"/>
          <w:szCs w:val="28"/>
        </w:rPr>
        <w:t>Abstract</w:t>
      </w:r>
    </w:p>
    <w:p w:rsidR="00185091" w:rsidRPr="00CE6165" w:rsidRDefault="00185091" w:rsidP="00BB5152">
      <w:pPr>
        <w:spacing w:before="100" w:beforeAutospacing="1" w:after="0" w:line="240" w:lineRule="auto"/>
        <w:jc w:val="both"/>
        <w:rPr>
          <w:rFonts w:asciiTheme="majorBidi" w:eastAsia="Calibri" w:hAnsiTheme="majorBidi" w:cstheme="majorBidi"/>
          <w:b/>
          <w:sz w:val="24"/>
          <w:szCs w:val="24"/>
        </w:rPr>
      </w:pPr>
      <w:r w:rsidRPr="00CE6165">
        <w:rPr>
          <w:rFonts w:asciiTheme="majorBidi" w:hAnsiTheme="majorBidi" w:cstheme="majorBidi"/>
          <w:b/>
          <w:sz w:val="24"/>
          <w:szCs w:val="24"/>
        </w:rPr>
        <w:t xml:space="preserve">Background and Purpose: </w:t>
      </w:r>
      <w:r w:rsidRPr="00CE6165">
        <w:rPr>
          <w:rFonts w:asciiTheme="majorBidi" w:hAnsiTheme="majorBidi" w:cstheme="majorBidi"/>
          <w:sz w:val="24"/>
          <w:szCs w:val="24"/>
        </w:rPr>
        <w:t>Given high prevalence of generalized anxiety disorder (GAD) and considering chronic trend of this disorder, development of effective and experimentally approved interventions is essentially needed for it. Curr</w:t>
      </w:r>
      <w:bookmarkStart w:id="0" w:name="_GoBack"/>
      <w:bookmarkEnd w:id="0"/>
      <w:r w:rsidRPr="00CE6165">
        <w:rPr>
          <w:rFonts w:asciiTheme="majorBidi" w:hAnsiTheme="majorBidi" w:cstheme="majorBidi"/>
          <w:sz w:val="24"/>
          <w:szCs w:val="24"/>
        </w:rPr>
        <w:t>ent research was conducted aiming at comparing effectiveness</w:t>
      </w:r>
      <w:r w:rsidR="00E628A7" w:rsidRPr="00CE6165">
        <w:rPr>
          <w:rFonts w:asciiTheme="majorBidi" w:hAnsiTheme="majorBidi" w:cstheme="majorBidi"/>
          <w:sz w:val="24"/>
          <w:szCs w:val="24"/>
        </w:rPr>
        <w:t xml:space="preserve"> </w:t>
      </w:r>
      <w:r w:rsidRPr="00CE6165">
        <w:rPr>
          <w:rFonts w:asciiTheme="majorBidi" w:hAnsiTheme="majorBidi" w:cstheme="majorBidi"/>
          <w:sz w:val="24"/>
          <w:szCs w:val="24"/>
        </w:rPr>
        <w:t xml:space="preserve">of cognitive-behavior therapy focuses on intolerance of uncertainty and </w:t>
      </w:r>
      <w:r w:rsidR="00F26B64" w:rsidRPr="00CE6165">
        <w:rPr>
          <w:rFonts w:asciiTheme="majorBidi" w:hAnsiTheme="majorBidi" w:cstheme="majorBidi"/>
          <w:sz w:val="24"/>
          <w:szCs w:val="24"/>
        </w:rPr>
        <w:t xml:space="preserve">Pharmacotherapy </w:t>
      </w:r>
      <w:r w:rsidRPr="00CE6165">
        <w:rPr>
          <w:rFonts w:asciiTheme="majorBidi" w:hAnsiTheme="majorBidi" w:cstheme="majorBidi"/>
          <w:sz w:val="24"/>
          <w:szCs w:val="24"/>
        </w:rPr>
        <w:t>on worry, positive beliefs and negative orientation components in patients with generalized anxiety disorder.</w:t>
      </w:r>
    </w:p>
    <w:p w:rsidR="00185091" w:rsidRPr="00CE6165" w:rsidRDefault="00185091" w:rsidP="00BB5152">
      <w:pPr>
        <w:spacing w:before="100" w:beforeAutospacing="1" w:after="0" w:line="240" w:lineRule="auto"/>
        <w:jc w:val="both"/>
        <w:rPr>
          <w:rFonts w:asciiTheme="majorBidi" w:eastAsia="Calibri" w:hAnsiTheme="majorBidi" w:cstheme="majorBidi"/>
          <w:sz w:val="24"/>
          <w:szCs w:val="24"/>
        </w:rPr>
      </w:pPr>
      <w:r w:rsidRPr="00CE6165">
        <w:rPr>
          <w:rFonts w:asciiTheme="majorBidi" w:hAnsiTheme="majorBidi" w:cstheme="majorBidi"/>
          <w:b/>
          <w:sz w:val="24"/>
          <w:szCs w:val="24"/>
        </w:rPr>
        <w:t xml:space="preserve">Materials and Methods: </w:t>
      </w:r>
      <w:r w:rsidRPr="00CE6165">
        <w:rPr>
          <w:rFonts w:asciiTheme="majorBidi" w:hAnsiTheme="majorBidi" w:cstheme="majorBidi"/>
          <w:sz w:val="24"/>
          <w:szCs w:val="24"/>
        </w:rPr>
        <w:t>Current research plan was a quasi-experimental study which was conducted as a pretest - posttest plan with two groups. Research population included all female students of Kurdistan University and patients referring to private medical centers of Sanandaj city. Research sample contained 24 patients with generalized anxiety disorder which were assigned in two groups. The first group (cognitive-behavior therapy focused on intolerance of uncertainty group (n = 12)) were selected using convenient sampling method through recalling, and the second group (</w:t>
      </w:r>
      <w:r w:rsidR="00F26B64" w:rsidRPr="00CE6165">
        <w:rPr>
          <w:rFonts w:asciiTheme="majorBidi" w:hAnsiTheme="majorBidi" w:cstheme="majorBidi"/>
          <w:sz w:val="24"/>
          <w:szCs w:val="24"/>
        </w:rPr>
        <w:t xml:space="preserve">Pharmacotherapy </w:t>
      </w:r>
      <w:r w:rsidRPr="00CE6165">
        <w:rPr>
          <w:rFonts w:asciiTheme="majorBidi" w:hAnsiTheme="majorBidi" w:cstheme="majorBidi"/>
          <w:sz w:val="24"/>
          <w:szCs w:val="24"/>
        </w:rPr>
        <w:t>(n = 12)) were selected using non-probability purposive convenient sampling method.  The first group was treated by cognitive-behavior therapy focused on intolerance of uncertainty for 12 one-hour sessions, and second group was treated by drug therapy using Serotonin reuptake inhibitors (SSRIs) (sertraline 100 mg or citalopram 40 mg). Penn state Worry Questionnaire (PSWQ), Why Worry Questionnaire (WWQ-II), and Negative Problem Orientation Questionnaire (NPOQ) were used as research tools. Data were analyzed using repeated measures analysis of variance.</w:t>
      </w:r>
    </w:p>
    <w:p w:rsidR="00185091" w:rsidRPr="00CE6165" w:rsidRDefault="00185091" w:rsidP="00BB5152">
      <w:pPr>
        <w:spacing w:before="100" w:beforeAutospacing="1" w:after="0" w:line="240" w:lineRule="auto"/>
        <w:jc w:val="both"/>
        <w:rPr>
          <w:rFonts w:asciiTheme="majorBidi" w:eastAsia="Calibri" w:hAnsiTheme="majorBidi" w:cstheme="majorBidi"/>
          <w:b/>
          <w:sz w:val="24"/>
          <w:szCs w:val="24"/>
        </w:rPr>
      </w:pPr>
      <w:r w:rsidRPr="00CE6165">
        <w:rPr>
          <w:rFonts w:asciiTheme="majorBidi" w:hAnsiTheme="majorBidi" w:cstheme="majorBidi"/>
          <w:b/>
          <w:sz w:val="24"/>
          <w:szCs w:val="24"/>
        </w:rPr>
        <w:t xml:space="preserve">Findings: </w:t>
      </w:r>
      <w:r w:rsidRPr="00CE6165">
        <w:rPr>
          <w:rFonts w:asciiTheme="majorBidi" w:hAnsiTheme="majorBidi" w:cstheme="majorBidi"/>
          <w:sz w:val="24"/>
          <w:szCs w:val="24"/>
        </w:rPr>
        <w:t xml:space="preserve">Results showed that cognitive-behavior therapy focused on intolerance of uncertainty was significantly more effective on worry and negative orientation of patients with GAD, but no significant difference was observed regarding positive beliefs about worry between two treatments and both showed identical effectiveness.                                        </w:t>
      </w:r>
    </w:p>
    <w:p w:rsidR="00185091" w:rsidRPr="00CE6165" w:rsidRDefault="00185091" w:rsidP="00BB5152">
      <w:pPr>
        <w:spacing w:before="100" w:beforeAutospacing="1" w:after="0" w:line="240" w:lineRule="auto"/>
        <w:jc w:val="both"/>
        <w:rPr>
          <w:rFonts w:asciiTheme="majorBidi" w:eastAsia="Calibri" w:hAnsiTheme="majorBidi" w:cstheme="majorBidi"/>
          <w:sz w:val="24"/>
          <w:szCs w:val="24"/>
        </w:rPr>
      </w:pPr>
      <w:r w:rsidRPr="00CE6165">
        <w:rPr>
          <w:rFonts w:asciiTheme="majorBidi" w:hAnsiTheme="majorBidi" w:cstheme="majorBidi"/>
          <w:b/>
          <w:sz w:val="24"/>
          <w:szCs w:val="24"/>
        </w:rPr>
        <w:t xml:space="preserve">Conclusion: </w:t>
      </w:r>
      <w:r w:rsidRPr="00CE6165">
        <w:rPr>
          <w:rFonts w:asciiTheme="majorBidi" w:hAnsiTheme="majorBidi" w:cstheme="majorBidi"/>
          <w:sz w:val="24"/>
          <w:szCs w:val="24"/>
        </w:rPr>
        <w:t xml:space="preserve">cognitive-behavior therapy focused on intolerance of uncertainty can be taken into account as an effective treatment in psychological interventions for patients with GAD. </w:t>
      </w:r>
    </w:p>
    <w:p w:rsidR="00185091" w:rsidRPr="00CE6165" w:rsidRDefault="00185091" w:rsidP="00BB5152">
      <w:pPr>
        <w:spacing w:before="100" w:beforeAutospacing="1" w:after="0" w:line="240" w:lineRule="auto"/>
        <w:jc w:val="both"/>
        <w:rPr>
          <w:rFonts w:asciiTheme="majorBidi" w:hAnsiTheme="majorBidi" w:cstheme="majorBidi"/>
          <w:sz w:val="24"/>
          <w:szCs w:val="24"/>
        </w:rPr>
      </w:pPr>
      <w:r w:rsidRPr="00CE6165">
        <w:rPr>
          <w:rFonts w:asciiTheme="majorBidi" w:hAnsiTheme="majorBidi" w:cstheme="majorBidi"/>
          <w:b/>
          <w:sz w:val="24"/>
          <w:szCs w:val="24"/>
        </w:rPr>
        <w:t xml:space="preserve">Keywords: </w:t>
      </w:r>
      <w:r w:rsidRPr="00CE6165">
        <w:rPr>
          <w:rFonts w:asciiTheme="majorBidi" w:hAnsiTheme="majorBidi" w:cstheme="majorBidi"/>
          <w:sz w:val="24"/>
          <w:szCs w:val="24"/>
        </w:rPr>
        <w:t xml:space="preserve">Generalized anxiety disorder (GAD), cognitive-behavior therapy focused on intolerance of uncertainty, </w:t>
      </w:r>
      <w:r w:rsidR="00A12133" w:rsidRPr="00CE6165">
        <w:rPr>
          <w:rFonts w:asciiTheme="majorBidi" w:hAnsiTheme="majorBidi" w:cstheme="majorBidi"/>
          <w:sz w:val="24"/>
          <w:szCs w:val="24"/>
        </w:rPr>
        <w:t>Pharmacotherapy</w:t>
      </w:r>
      <w:r w:rsidRPr="00CE6165">
        <w:rPr>
          <w:rFonts w:asciiTheme="majorBidi" w:hAnsiTheme="majorBidi" w:cstheme="majorBidi"/>
          <w:sz w:val="24"/>
          <w:szCs w:val="24"/>
        </w:rPr>
        <w:t xml:space="preserve">, positive beliefs about worry. </w:t>
      </w:r>
    </w:p>
    <w:p w:rsidR="000929AE" w:rsidRPr="00CE6165" w:rsidRDefault="000929AE" w:rsidP="001D2FB1">
      <w:pPr>
        <w:spacing w:before="100" w:beforeAutospacing="1" w:after="100" w:afterAutospacing="1" w:line="240" w:lineRule="auto"/>
        <w:jc w:val="both"/>
        <w:rPr>
          <w:rFonts w:asciiTheme="majorBidi" w:hAnsiTheme="majorBidi" w:cstheme="majorBidi"/>
          <w:b/>
          <w:bCs/>
          <w:sz w:val="24"/>
          <w:szCs w:val="24"/>
        </w:rPr>
      </w:pPr>
      <w:r w:rsidRPr="00CE6165">
        <w:rPr>
          <w:rFonts w:asciiTheme="majorBidi" w:hAnsiTheme="majorBidi" w:cstheme="majorBidi"/>
          <w:b/>
          <w:bCs/>
          <w:sz w:val="24"/>
          <w:szCs w:val="24"/>
        </w:rPr>
        <w:lastRenderedPageBreak/>
        <w:t>Introduction</w:t>
      </w:r>
    </w:p>
    <w:p w:rsidR="00185091" w:rsidRPr="00CE6165" w:rsidRDefault="00185091" w:rsidP="006328B1">
      <w:pPr>
        <w:spacing w:before="100" w:beforeAutospacing="1" w:after="100" w:afterAutospacing="1" w:line="240" w:lineRule="auto"/>
        <w:jc w:val="both"/>
        <w:rPr>
          <w:rFonts w:asciiTheme="majorBidi" w:eastAsia="Times New Roman" w:hAnsiTheme="majorBidi" w:cstheme="majorBidi"/>
          <w:sz w:val="24"/>
          <w:szCs w:val="24"/>
        </w:rPr>
      </w:pPr>
      <w:r w:rsidRPr="00CE6165">
        <w:rPr>
          <w:rFonts w:asciiTheme="majorBidi" w:hAnsiTheme="majorBidi" w:cstheme="majorBidi"/>
          <w:sz w:val="24"/>
          <w:szCs w:val="24"/>
        </w:rPr>
        <w:t xml:space="preserve">Generalized anxiety disorder (GAD) is </w:t>
      </w:r>
      <w:r w:rsidR="006328B1" w:rsidRPr="00CE6165">
        <w:rPr>
          <w:rFonts w:asciiTheme="majorBidi" w:hAnsiTheme="majorBidi" w:cstheme="majorBidi"/>
          <w:sz w:val="24"/>
          <w:szCs w:val="24"/>
        </w:rPr>
        <w:t>one of</w:t>
      </w:r>
      <w:r w:rsidRPr="00CE6165">
        <w:rPr>
          <w:rFonts w:asciiTheme="majorBidi" w:hAnsiTheme="majorBidi" w:cstheme="majorBidi"/>
          <w:sz w:val="24"/>
          <w:szCs w:val="24"/>
        </w:rPr>
        <w:t xml:space="preserve"> the most common anxiety disorders</w:t>
      </w:r>
      <w:r w:rsidR="006328B1" w:rsidRPr="00CE6165">
        <w:rPr>
          <w:rFonts w:asciiTheme="majorBidi" w:hAnsiTheme="majorBidi" w:cstheme="majorBidi"/>
          <w:sz w:val="24"/>
          <w:szCs w:val="24"/>
        </w:rPr>
        <w:t>.</w:t>
      </w:r>
      <w:r w:rsidRPr="00CE6165">
        <w:rPr>
          <w:rFonts w:asciiTheme="majorBidi" w:hAnsiTheme="majorBidi" w:cstheme="majorBidi"/>
          <w:sz w:val="24"/>
          <w:szCs w:val="24"/>
        </w:rPr>
        <w:t xml:space="preserve"> According to the Fifth Diagnostic and Statistical Manual of Mental Disorders (DSM-5), </w:t>
      </w:r>
      <w:r w:rsidR="00012664" w:rsidRPr="00CE6165">
        <w:rPr>
          <w:rFonts w:asciiTheme="majorBidi" w:hAnsiTheme="majorBidi" w:cstheme="majorBidi"/>
          <w:sz w:val="24"/>
          <w:szCs w:val="24"/>
        </w:rPr>
        <w:t>GAD has a lifetime prevalence of 4.3% to 5.9% and Females are twice as likely as males to experience generalized anxiety disorder</w:t>
      </w:r>
      <w:r w:rsidR="000D6D60" w:rsidRPr="00CE6165">
        <w:rPr>
          <w:rFonts w:asciiTheme="majorBidi" w:hAnsiTheme="majorBidi" w:cstheme="majorBidi"/>
          <w:sz w:val="24"/>
          <w:szCs w:val="24"/>
        </w:rPr>
        <w:t>. (</w:t>
      </w:r>
      <w:r w:rsidR="00B5653E" w:rsidRPr="00CE6165">
        <w:rPr>
          <w:rFonts w:asciiTheme="majorBidi" w:eastAsia="Times New Roman" w:hAnsiTheme="majorBidi" w:cstheme="majorBidi"/>
          <w:szCs w:val="22"/>
        </w:rPr>
        <w:t>American Psychiatric Association, 2013</w:t>
      </w:r>
      <w:r w:rsidR="00B5653E" w:rsidRPr="00CE6165">
        <w:rPr>
          <w:rFonts w:asciiTheme="majorBidi" w:hAnsiTheme="majorBidi" w:cstheme="majorBidi"/>
          <w:sz w:val="24"/>
          <w:szCs w:val="24"/>
        </w:rPr>
        <w:t>)</w:t>
      </w:r>
      <w:r w:rsidRPr="00CE6165">
        <w:rPr>
          <w:rFonts w:asciiTheme="majorBidi" w:hAnsiTheme="majorBidi" w:cstheme="majorBidi"/>
          <w:sz w:val="24"/>
          <w:szCs w:val="24"/>
        </w:rPr>
        <w:t xml:space="preserve">. This disorder usually has a chronic course of action, so that most patients, refer to the clinical specialist for treatment of their problem after 6 to 12 years </w:t>
      </w:r>
      <w:r w:rsidR="00B5653E" w:rsidRPr="00CE6165">
        <w:rPr>
          <w:rFonts w:asciiTheme="majorBidi" w:hAnsiTheme="majorBidi" w:cstheme="majorBidi"/>
          <w:sz w:val="24"/>
          <w:szCs w:val="24"/>
        </w:rPr>
        <w:t>(</w:t>
      </w:r>
      <w:proofErr w:type="spellStart"/>
      <w:r w:rsidR="00B5653E" w:rsidRPr="00CE6165">
        <w:rPr>
          <w:rFonts w:asciiTheme="majorBidi" w:eastAsia="Times New Roman" w:hAnsiTheme="majorBidi" w:cstheme="majorBidi"/>
          <w:szCs w:val="22"/>
        </w:rPr>
        <w:t>Revicki</w:t>
      </w:r>
      <w:proofErr w:type="spellEnd"/>
      <w:r w:rsidR="00B5653E" w:rsidRPr="00CE6165">
        <w:rPr>
          <w:rFonts w:asciiTheme="majorBidi" w:eastAsia="Times New Roman" w:hAnsiTheme="majorBidi" w:cstheme="majorBidi"/>
          <w:szCs w:val="22"/>
        </w:rPr>
        <w:t xml:space="preserve"> et al, 2012</w:t>
      </w:r>
      <w:r w:rsidR="00B5653E" w:rsidRPr="00CE6165">
        <w:rPr>
          <w:rFonts w:asciiTheme="majorBidi" w:hAnsiTheme="majorBidi" w:cstheme="majorBidi"/>
          <w:sz w:val="24"/>
          <w:szCs w:val="24"/>
        </w:rPr>
        <w:t>)</w:t>
      </w:r>
      <w:r w:rsidRPr="00CE6165">
        <w:rPr>
          <w:rFonts w:asciiTheme="majorBidi" w:hAnsiTheme="majorBidi" w:cstheme="majorBidi"/>
          <w:sz w:val="24"/>
          <w:szCs w:val="24"/>
        </w:rPr>
        <w:t xml:space="preserve">. </w:t>
      </w:r>
      <w:r w:rsidR="001D2FB1" w:rsidRPr="00CE6165">
        <w:rPr>
          <w:rFonts w:asciiTheme="majorBidi" w:hAnsiTheme="majorBidi" w:cstheme="majorBidi"/>
          <w:sz w:val="24"/>
          <w:szCs w:val="24"/>
        </w:rPr>
        <w:t xml:space="preserve">Comorbidity of this disorder with other disorders, in particular </w:t>
      </w:r>
      <w:r w:rsidR="006328B1" w:rsidRPr="00CE6165">
        <w:rPr>
          <w:rFonts w:asciiTheme="majorBidi" w:hAnsiTheme="majorBidi" w:cstheme="majorBidi"/>
          <w:sz w:val="24"/>
          <w:szCs w:val="24"/>
        </w:rPr>
        <w:t>emotional</w:t>
      </w:r>
      <w:r w:rsidR="001D2FB1" w:rsidRPr="00CE6165">
        <w:rPr>
          <w:rFonts w:asciiTheme="majorBidi" w:hAnsiTheme="majorBidi" w:cstheme="majorBidi"/>
          <w:sz w:val="24"/>
          <w:szCs w:val="24"/>
        </w:rPr>
        <w:t xml:space="preserve"> disorders,</w:t>
      </w:r>
      <w:r w:rsidR="00912E1C" w:rsidRPr="00CE6165">
        <w:t xml:space="preserve"> </w:t>
      </w:r>
      <w:r w:rsidR="00912E1C" w:rsidRPr="00CE6165">
        <w:rPr>
          <w:rFonts w:asciiTheme="majorBidi" w:hAnsiTheme="majorBidi" w:cstheme="majorBidi"/>
          <w:sz w:val="24"/>
          <w:szCs w:val="24"/>
        </w:rPr>
        <w:t>is more the rule, rather than the exception (</w:t>
      </w:r>
      <w:r w:rsidR="00912E1C" w:rsidRPr="00CE6165">
        <w:rPr>
          <w:rFonts w:asciiTheme="majorBidi" w:eastAsia="Times New Roman" w:hAnsiTheme="majorBidi" w:cstheme="majorBidi"/>
          <w:szCs w:val="22"/>
        </w:rPr>
        <w:t>Kessler</w:t>
      </w:r>
      <w:r w:rsidR="006328B1" w:rsidRPr="00CE6165">
        <w:rPr>
          <w:rFonts w:asciiTheme="majorBidi" w:eastAsia="Times New Roman" w:hAnsiTheme="majorBidi" w:cstheme="majorBidi"/>
          <w:szCs w:val="22"/>
        </w:rPr>
        <w:t>,</w:t>
      </w:r>
      <w:r w:rsidR="00912E1C" w:rsidRPr="00CE6165">
        <w:rPr>
          <w:rFonts w:asciiTheme="majorBidi" w:eastAsia="Times New Roman" w:hAnsiTheme="majorBidi" w:cstheme="majorBidi"/>
          <w:szCs w:val="22"/>
        </w:rPr>
        <w:t xml:space="preserve"> </w:t>
      </w:r>
      <w:proofErr w:type="spellStart"/>
      <w:r w:rsidR="006328B1" w:rsidRPr="00CE6165">
        <w:rPr>
          <w:rFonts w:asciiTheme="majorBidi" w:eastAsia="Times New Roman" w:hAnsiTheme="majorBidi" w:cstheme="majorBidi"/>
          <w:szCs w:val="22"/>
        </w:rPr>
        <w:t>Petukhova</w:t>
      </w:r>
      <w:proofErr w:type="spellEnd"/>
      <w:r w:rsidR="006328B1" w:rsidRPr="00CE6165">
        <w:rPr>
          <w:rFonts w:asciiTheme="majorBidi" w:eastAsia="Times New Roman" w:hAnsiTheme="majorBidi" w:cstheme="majorBidi"/>
          <w:szCs w:val="22"/>
        </w:rPr>
        <w:t xml:space="preserve">, Sampson, </w:t>
      </w:r>
      <w:proofErr w:type="spellStart"/>
      <w:r w:rsidR="006328B1" w:rsidRPr="00CE6165">
        <w:rPr>
          <w:rFonts w:asciiTheme="majorBidi" w:eastAsia="Times New Roman" w:hAnsiTheme="majorBidi" w:cstheme="majorBidi"/>
          <w:szCs w:val="22"/>
        </w:rPr>
        <w:t>Zaslavsky</w:t>
      </w:r>
      <w:proofErr w:type="spellEnd"/>
      <w:r w:rsidR="006328B1" w:rsidRPr="00CE6165">
        <w:rPr>
          <w:rFonts w:asciiTheme="majorBidi" w:eastAsia="Times New Roman" w:hAnsiTheme="majorBidi" w:cstheme="majorBidi"/>
          <w:szCs w:val="22"/>
        </w:rPr>
        <w:t xml:space="preserve">, &amp; </w:t>
      </w:r>
      <w:proofErr w:type="spellStart"/>
      <w:r w:rsidR="006328B1" w:rsidRPr="00CE6165">
        <w:rPr>
          <w:rFonts w:asciiTheme="majorBidi" w:eastAsia="Times New Roman" w:hAnsiTheme="majorBidi" w:cstheme="majorBidi"/>
          <w:szCs w:val="22"/>
        </w:rPr>
        <w:t>Wittchen</w:t>
      </w:r>
      <w:proofErr w:type="spellEnd"/>
      <w:r w:rsidR="00912E1C" w:rsidRPr="00CE6165">
        <w:rPr>
          <w:rFonts w:asciiTheme="majorBidi" w:eastAsia="Times New Roman" w:hAnsiTheme="majorBidi" w:cstheme="majorBidi"/>
          <w:szCs w:val="22"/>
        </w:rPr>
        <w:t>, 2012)</w:t>
      </w:r>
      <w:r w:rsidR="00912E1C" w:rsidRPr="00CE6165">
        <w:rPr>
          <w:rFonts w:asciiTheme="majorBidi" w:hAnsiTheme="majorBidi" w:cstheme="majorBidi"/>
          <w:sz w:val="24"/>
          <w:szCs w:val="24"/>
        </w:rPr>
        <w:t xml:space="preserve">. </w:t>
      </w:r>
    </w:p>
    <w:p w:rsidR="00185091" w:rsidRPr="00CE6165" w:rsidRDefault="00185091" w:rsidP="009E5E80">
      <w:pPr>
        <w:spacing w:before="100" w:beforeAutospacing="1" w:after="100" w:afterAutospacing="1" w:line="240" w:lineRule="auto"/>
        <w:jc w:val="both"/>
        <w:rPr>
          <w:rFonts w:asciiTheme="majorBidi" w:eastAsia="Times New Roman" w:hAnsiTheme="majorBidi" w:cstheme="majorBidi"/>
          <w:szCs w:val="22"/>
        </w:rPr>
      </w:pPr>
      <w:r w:rsidRPr="00CE6165">
        <w:rPr>
          <w:rFonts w:asciiTheme="majorBidi" w:hAnsiTheme="majorBidi" w:cstheme="majorBidi"/>
          <w:sz w:val="24"/>
          <w:szCs w:val="24"/>
        </w:rPr>
        <w:t xml:space="preserve">Central processes of GAD represent the main processes involved in all anxiety disorders </w:t>
      </w:r>
      <w:r w:rsidR="00A9333F" w:rsidRPr="00CE6165">
        <w:rPr>
          <w:rFonts w:asciiTheme="majorBidi" w:hAnsiTheme="majorBidi" w:cstheme="majorBidi"/>
          <w:sz w:val="24"/>
          <w:szCs w:val="24"/>
        </w:rPr>
        <w:t>(</w:t>
      </w:r>
      <w:r w:rsidR="00A9333F" w:rsidRPr="00CE6165">
        <w:rPr>
          <w:rFonts w:asciiTheme="majorBidi" w:eastAsia="Times New Roman" w:hAnsiTheme="majorBidi" w:cstheme="majorBidi"/>
          <w:szCs w:val="22"/>
        </w:rPr>
        <w:t>Barlow, 2014)</w:t>
      </w:r>
      <w:r w:rsidRPr="00CE6165">
        <w:rPr>
          <w:rFonts w:asciiTheme="majorBidi" w:hAnsiTheme="majorBidi" w:cstheme="majorBidi"/>
          <w:sz w:val="24"/>
          <w:szCs w:val="24"/>
        </w:rPr>
        <w:t xml:space="preserve">. Thus, Barlow introduced this disorder as the basic anxiety disorder, and emphasized that understanding and discovery of its pathology and treatment can be a great step in the scope of anxiety disorders </w:t>
      </w:r>
      <w:r w:rsidR="009E5E80" w:rsidRPr="00CE6165">
        <w:rPr>
          <w:rFonts w:asciiTheme="majorBidi" w:hAnsiTheme="majorBidi" w:cstheme="majorBidi"/>
          <w:sz w:val="24"/>
          <w:szCs w:val="24"/>
        </w:rPr>
        <w:t>(</w:t>
      </w:r>
      <w:r w:rsidR="009E5E80" w:rsidRPr="00CE6165">
        <w:rPr>
          <w:rFonts w:asciiTheme="majorBidi" w:eastAsia="Times New Roman" w:hAnsiTheme="majorBidi" w:cstheme="majorBidi"/>
          <w:szCs w:val="22"/>
        </w:rPr>
        <w:t>Barlow, 2014</w:t>
      </w:r>
      <w:r w:rsidR="009E5E80" w:rsidRPr="00CE6165">
        <w:rPr>
          <w:rFonts w:asciiTheme="majorBidi" w:hAnsiTheme="majorBidi" w:cstheme="majorBidi"/>
          <w:sz w:val="24"/>
          <w:szCs w:val="24"/>
        </w:rPr>
        <w:t>)</w:t>
      </w:r>
      <w:r w:rsidRPr="00CE6165">
        <w:rPr>
          <w:rFonts w:asciiTheme="majorBidi" w:hAnsiTheme="majorBidi" w:cstheme="majorBidi"/>
          <w:sz w:val="24"/>
          <w:szCs w:val="24"/>
        </w:rPr>
        <w:t xml:space="preserve">.  Excessive and uncontrollable worry is the main characteristic of this disorder, which is defined as a series of negative thoughts that are mostly verbal and aim at problem solving </w:t>
      </w:r>
      <w:r w:rsidR="009E5E80" w:rsidRPr="00CE6165">
        <w:rPr>
          <w:rFonts w:asciiTheme="majorBidi" w:hAnsiTheme="majorBidi" w:cstheme="majorBidi"/>
          <w:sz w:val="24"/>
          <w:szCs w:val="24"/>
        </w:rPr>
        <w:t>(</w:t>
      </w:r>
      <w:proofErr w:type="spellStart"/>
      <w:r w:rsidR="009E5E80" w:rsidRPr="00CE6165">
        <w:rPr>
          <w:rFonts w:asciiTheme="majorBidi" w:eastAsia="Times New Roman" w:hAnsiTheme="majorBidi" w:cstheme="majorBidi"/>
          <w:szCs w:val="22"/>
        </w:rPr>
        <w:t>Borkovec</w:t>
      </w:r>
      <w:proofErr w:type="spellEnd"/>
      <w:r w:rsidR="009E5E80" w:rsidRPr="00CE6165">
        <w:rPr>
          <w:rFonts w:asciiTheme="majorBidi" w:eastAsia="Times New Roman" w:hAnsiTheme="majorBidi" w:cstheme="majorBidi"/>
          <w:szCs w:val="22"/>
        </w:rPr>
        <w:t xml:space="preserve">, </w:t>
      </w:r>
      <w:proofErr w:type="spellStart"/>
      <w:r w:rsidR="009E5E80" w:rsidRPr="00CE6165">
        <w:rPr>
          <w:rFonts w:asciiTheme="majorBidi" w:eastAsia="Times New Roman" w:hAnsiTheme="majorBidi" w:cstheme="majorBidi"/>
          <w:szCs w:val="22"/>
        </w:rPr>
        <w:t>Alcaine</w:t>
      </w:r>
      <w:proofErr w:type="spellEnd"/>
      <w:r w:rsidR="009E5E80" w:rsidRPr="00CE6165">
        <w:rPr>
          <w:rFonts w:asciiTheme="majorBidi" w:eastAsia="Times New Roman" w:hAnsiTheme="majorBidi" w:cstheme="majorBidi"/>
          <w:szCs w:val="22"/>
        </w:rPr>
        <w:t>, &amp; Behar, 2004</w:t>
      </w:r>
      <w:r w:rsidR="009E5E80" w:rsidRPr="00CE6165">
        <w:rPr>
          <w:rFonts w:asciiTheme="majorBidi" w:hAnsiTheme="majorBidi" w:cstheme="majorBidi"/>
          <w:sz w:val="24"/>
          <w:szCs w:val="24"/>
        </w:rPr>
        <w:t>)</w:t>
      </w:r>
      <w:r w:rsidRPr="00CE6165">
        <w:rPr>
          <w:rFonts w:asciiTheme="majorBidi" w:hAnsiTheme="majorBidi" w:cstheme="majorBidi"/>
          <w:sz w:val="24"/>
          <w:szCs w:val="24"/>
        </w:rPr>
        <w:t xml:space="preserve">.  Excessive worry in this disorder is observed early in the life, and it is manifested as anxiety trait, so that it looks like a personality trait </w:t>
      </w:r>
      <w:r w:rsidR="009E5E80" w:rsidRPr="00CE6165">
        <w:rPr>
          <w:rFonts w:asciiTheme="majorBidi" w:hAnsiTheme="majorBidi" w:cstheme="majorBidi"/>
          <w:sz w:val="24"/>
          <w:szCs w:val="24"/>
        </w:rPr>
        <w:t>(</w:t>
      </w:r>
      <w:r w:rsidR="009E5E80" w:rsidRPr="00CE6165">
        <w:rPr>
          <w:rFonts w:asciiTheme="majorBidi" w:eastAsia="Times New Roman" w:hAnsiTheme="majorBidi" w:cstheme="majorBidi"/>
          <w:szCs w:val="22"/>
        </w:rPr>
        <w:t>Clark &amp; Beck, 2011)</w:t>
      </w:r>
      <w:r w:rsidRPr="00CE6165">
        <w:rPr>
          <w:rFonts w:asciiTheme="majorBidi" w:eastAsia="Times New Roman" w:hAnsiTheme="majorBidi" w:cstheme="majorBidi"/>
          <w:szCs w:val="22"/>
        </w:rPr>
        <w:t xml:space="preserve">. </w:t>
      </w:r>
    </w:p>
    <w:p w:rsidR="00185091" w:rsidRPr="00CE6165" w:rsidRDefault="00185091" w:rsidP="007774D3">
      <w:pPr>
        <w:spacing w:before="100" w:beforeAutospacing="1" w:after="100" w:afterAutospacing="1" w:line="240" w:lineRule="auto"/>
        <w:jc w:val="both"/>
        <w:rPr>
          <w:rFonts w:asciiTheme="majorBidi" w:eastAsia="Times New Roman" w:hAnsiTheme="majorBidi" w:cstheme="majorBidi"/>
          <w:sz w:val="24"/>
          <w:szCs w:val="24"/>
        </w:rPr>
      </w:pPr>
      <w:r w:rsidRPr="00CE6165">
        <w:rPr>
          <w:rFonts w:asciiTheme="majorBidi" w:hAnsiTheme="majorBidi" w:cstheme="majorBidi"/>
          <w:sz w:val="24"/>
          <w:szCs w:val="24"/>
        </w:rPr>
        <w:t xml:space="preserve">Due to the high prevalence, chronic course, frequent recurrence, high comorbidity with other disorders, and disrupting functioning of the person in different areas of life, this disorder is considered as one of the most important disabling psychiatric disorders for adults, which has a pressing need for development and expansion of effective and empirically verified interventions </w:t>
      </w:r>
      <w:r w:rsidR="0095477D" w:rsidRPr="00CE6165">
        <w:rPr>
          <w:rFonts w:asciiTheme="majorBidi" w:hAnsiTheme="majorBidi" w:cstheme="majorBidi"/>
          <w:sz w:val="24"/>
          <w:szCs w:val="24"/>
        </w:rPr>
        <w:t>(</w:t>
      </w:r>
      <w:proofErr w:type="spellStart"/>
      <w:r w:rsidR="0095477D" w:rsidRPr="00CE6165">
        <w:rPr>
          <w:rFonts w:asciiTheme="majorBidi" w:eastAsia="Times New Roman" w:hAnsiTheme="majorBidi" w:cstheme="majorBidi"/>
          <w:szCs w:val="22"/>
        </w:rPr>
        <w:t>Pae</w:t>
      </w:r>
      <w:proofErr w:type="spellEnd"/>
      <w:r w:rsidR="0095477D" w:rsidRPr="00CE6165">
        <w:rPr>
          <w:rFonts w:asciiTheme="majorBidi" w:eastAsia="Times New Roman" w:hAnsiTheme="majorBidi" w:cstheme="majorBidi"/>
          <w:szCs w:val="22"/>
        </w:rPr>
        <w:t xml:space="preserve"> et al, 2015</w:t>
      </w:r>
      <w:r w:rsidR="00AC2C13" w:rsidRPr="00CE6165">
        <w:rPr>
          <w:rFonts w:asciiTheme="majorBidi" w:eastAsia="Times New Roman" w:hAnsiTheme="majorBidi" w:cstheme="majorBidi"/>
          <w:szCs w:val="22"/>
        </w:rPr>
        <w:t xml:space="preserve">; </w:t>
      </w:r>
      <w:proofErr w:type="spellStart"/>
      <w:r w:rsidR="00AC2C13" w:rsidRPr="00CE6165">
        <w:rPr>
          <w:rFonts w:asciiTheme="majorBidi" w:eastAsia="Times New Roman" w:hAnsiTheme="majorBidi" w:cstheme="majorBidi"/>
          <w:szCs w:val="22"/>
        </w:rPr>
        <w:t>Zemestani</w:t>
      </w:r>
      <w:proofErr w:type="spellEnd"/>
      <w:r w:rsidR="00AC2C13" w:rsidRPr="00CE6165">
        <w:rPr>
          <w:rFonts w:asciiTheme="majorBidi" w:eastAsia="Times New Roman" w:hAnsiTheme="majorBidi" w:cstheme="majorBidi"/>
          <w:szCs w:val="22"/>
        </w:rPr>
        <w:t>, Imani, &amp; Ottaviani, 2017</w:t>
      </w:r>
      <w:r w:rsidR="0095477D" w:rsidRPr="00CE6165">
        <w:rPr>
          <w:rFonts w:asciiTheme="majorBidi" w:hAnsiTheme="majorBidi" w:cstheme="majorBidi"/>
          <w:sz w:val="24"/>
          <w:szCs w:val="24"/>
        </w:rPr>
        <w:t>)</w:t>
      </w:r>
      <w:r w:rsidRPr="00CE6165">
        <w:rPr>
          <w:rFonts w:asciiTheme="majorBidi" w:hAnsiTheme="majorBidi" w:cstheme="majorBidi"/>
          <w:sz w:val="24"/>
          <w:szCs w:val="24"/>
        </w:rPr>
        <w:t xml:space="preserve">. Several treatment interventions have been proposed for patients with GAD, such as progressive muscle relaxation, cognitive interventions and drug therapies </w:t>
      </w:r>
      <w:r w:rsidR="00D52D4D" w:rsidRPr="00CE6165">
        <w:rPr>
          <w:rFonts w:asciiTheme="majorBidi" w:hAnsiTheme="majorBidi" w:cstheme="majorBidi"/>
          <w:sz w:val="24"/>
          <w:szCs w:val="24"/>
        </w:rPr>
        <w:t>(</w:t>
      </w:r>
      <w:proofErr w:type="spellStart"/>
      <w:r w:rsidR="00D52D4D" w:rsidRPr="00CE6165">
        <w:rPr>
          <w:rFonts w:asciiTheme="majorBidi" w:eastAsia="Times New Roman" w:hAnsiTheme="majorBidi" w:cstheme="majorBidi"/>
          <w:szCs w:val="22"/>
        </w:rPr>
        <w:t>Gonçalves</w:t>
      </w:r>
      <w:proofErr w:type="spellEnd"/>
      <w:r w:rsidR="00D52D4D" w:rsidRPr="00CE6165">
        <w:rPr>
          <w:rFonts w:asciiTheme="majorBidi" w:eastAsia="Times New Roman" w:hAnsiTheme="majorBidi" w:cstheme="majorBidi"/>
          <w:szCs w:val="22"/>
        </w:rPr>
        <w:t xml:space="preserve"> &amp; Byrne, 2012</w:t>
      </w:r>
      <w:r w:rsidR="00D52D4D" w:rsidRPr="00CE6165">
        <w:rPr>
          <w:rFonts w:asciiTheme="majorBidi" w:hAnsiTheme="majorBidi" w:cstheme="majorBidi"/>
          <w:sz w:val="24"/>
          <w:szCs w:val="24"/>
        </w:rPr>
        <w:t>)</w:t>
      </w:r>
      <w:r w:rsidRPr="00CE6165">
        <w:rPr>
          <w:rFonts w:asciiTheme="majorBidi" w:hAnsiTheme="majorBidi" w:cstheme="majorBidi"/>
          <w:sz w:val="24"/>
          <w:szCs w:val="24"/>
        </w:rPr>
        <w:t xml:space="preserve">. Findings of clinical trials suggest that relaxation techniques lead to considerable changes in GAD symptoms </w:t>
      </w:r>
      <w:r w:rsidR="005A57A5" w:rsidRPr="00CE6165">
        <w:rPr>
          <w:rFonts w:asciiTheme="majorBidi" w:hAnsiTheme="majorBidi" w:cstheme="majorBidi"/>
          <w:sz w:val="24"/>
          <w:szCs w:val="24"/>
        </w:rPr>
        <w:t>(</w:t>
      </w:r>
      <w:r w:rsidR="005A57A5" w:rsidRPr="00CE6165">
        <w:rPr>
          <w:rFonts w:asciiTheme="majorBidi" w:eastAsia="Times New Roman" w:hAnsiTheme="majorBidi" w:cstheme="majorBidi"/>
          <w:szCs w:val="22"/>
        </w:rPr>
        <w:t xml:space="preserve">Barlow, </w:t>
      </w:r>
      <w:proofErr w:type="spellStart"/>
      <w:r w:rsidR="005A57A5" w:rsidRPr="00CE6165">
        <w:rPr>
          <w:rFonts w:asciiTheme="majorBidi" w:eastAsia="Times New Roman" w:hAnsiTheme="majorBidi" w:cstheme="majorBidi"/>
          <w:szCs w:val="22"/>
        </w:rPr>
        <w:t>Rapee</w:t>
      </w:r>
      <w:proofErr w:type="spellEnd"/>
      <w:r w:rsidR="00211559" w:rsidRPr="00CE6165">
        <w:rPr>
          <w:rFonts w:asciiTheme="majorBidi" w:eastAsia="Times New Roman" w:hAnsiTheme="majorBidi" w:cstheme="majorBidi"/>
          <w:szCs w:val="22"/>
        </w:rPr>
        <w:t>, &amp;</w:t>
      </w:r>
      <w:r w:rsidR="005A57A5" w:rsidRPr="00CE6165">
        <w:rPr>
          <w:rFonts w:asciiTheme="majorBidi" w:eastAsia="Times New Roman" w:hAnsiTheme="majorBidi" w:cstheme="majorBidi"/>
          <w:szCs w:val="22"/>
        </w:rPr>
        <w:t xml:space="preserve"> Brown, 1992; </w:t>
      </w:r>
      <w:proofErr w:type="spellStart"/>
      <w:r w:rsidR="005A57A5" w:rsidRPr="00CE6165">
        <w:rPr>
          <w:rFonts w:asciiTheme="majorBidi" w:eastAsia="Times New Roman" w:hAnsiTheme="majorBidi" w:cstheme="majorBidi"/>
          <w:szCs w:val="22"/>
        </w:rPr>
        <w:t>Öst</w:t>
      </w:r>
      <w:proofErr w:type="spellEnd"/>
      <w:r w:rsidR="005A57A5" w:rsidRPr="00CE6165">
        <w:rPr>
          <w:rFonts w:asciiTheme="majorBidi" w:eastAsia="Times New Roman" w:hAnsiTheme="majorBidi" w:cstheme="majorBidi"/>
          <w:szCs w:val="22"/>
        </w:rPr>
        <w:t xml:space="preserve"> &amp; </w:t>
      </w:r>
      <w:proofErr w:type="spellStart"/>
      <w:r w:rsidR="005A57A5" w:rsidRPr="00CE6165">
        <w:rPr>
          <w:rFonts w:asciiTheme="majorBidi" w:eastAsia="Times New Roman" w:hAnsiTheme="majorBidi" w:cstheme="majorBidi"/>
          <w:szCs w:val="22"/>
        </w:rPr>
        <w:t>Breitholtz</w:t>
      </w:r>
      <w:proofErr w:type="spellEnd"/>
      <w:r w:rsidR="005A57A5" w:rsidRPr="00CE6165">
        <w:rPr>
          <w:rFonts w:asciiTheme="majorBidi" w:eastAsia="Times New Roman" w:hAnsiTheme="majorBidi" w:cstheme="majorBidi"/>
          <w:szCs w:val="22"/>
        </w:rPr>
        <w:t>, 2000</w:t>
      </w:r>
      <w:r w:rsidR="005A57A5" w:rsidRPr="00CE6165">
        <w:rPr>
          <w:rFonts w:asciiTheme="majorBidi" w:hAnsiTheme="majorBidi" w:cstheme="majorBidi"/>
          <w:sz w:val="24"/>
          <w:szCs w:val="24"/>
        </w:rPr>
        <w:t>)</w:t>
      </w:r>
      <w:r w:rsidRPr="00CE6165">
        <w:rPr>
          <w:rFonts w:asciiTheme="majorBidi" w:hAnsiTheme="majorBidi" w:cstheme="majorBidi"/>
          <w:sz w:val="24"/>
          <w:szCs w:val="24"/>
        </w:rPr>
        <w:t xml:space="preserve">. However, many patients are left with the </w:t>
      </w:r>
      <w:r w:rsidR="007774D3" w:rsidRPr="00CE6165">
        <w:rPr>
          <w:rFonts w:asciiTheme="majorBidi" w:hAnsiTheme="majorBidi" w:cstheme="majorBidi"/>
          <w:sz w:val="24"/>
          <w:szCs w:val="24"/>
        </w:rPr>
        <w:t>residual</w:t>
      </w:r>
      <w:r w:rsidRPr="00CE6165">
        <w:rPr>
          <w:rFonts w:asciiTheme="majorBidi" w:hAnsiTheme="majorBidi" w:cstheme="majorBidi"/>
          <w:sz w:val="24"/>
          <w:szCs w:val="24"/>
        </w:rPr>
        <w:t xml:space="preserve"> symptoms. Clinical experiences and recent research evidence have led to similar conclusion, so that though many patients initially gain significant advantages from this treatment (progressive muscle relaxation) at the beginning, the changes stay constant following initial treatment achievements, and some symptoms of GAD still remain </w:t>
      </w:r>
      <w:r w:rsidR="00211559" w:rsidRPr="00CE6165">
        <w:rPr>
          <w:rFonts w:asciiTheme="majorBidi" w:hAnsiTheme="majorBidi" w:cstheme="majorBidi"/>
          <w:sz w:val="24"/>
          <w:szCs w:val="24"/>
        </w:rPr>
        <w:t>(</w:t>
      </w:r>
      <w:r w:rsidR="0035144D" w:rsidRPr="00CE6165">
        <w:rPr>
          <w:rFonts w:asciiTheme="majorBidi" w:eastAsia="Times New Roman" w:hAnsiTheme="majorBidi" w:cstheme="majorBidi"/>
          <w:szCs w:val="22"/>
        </w:rPr>
        <w:t>Wells et al</w:t>
      </w:r>
      <w:r w:rsidRPr="00CE6165">
        <w:rPr>
          <w:rFonts w:asciiTheme="majorBidi" w:eastAsia="Times New Roman" w:hAnsiTheme="majorBidi" w:cstheme="majorBidi"/>
          <w:szCs w:val="22"/>
        </w:rPr>
        <w:t>,</w:t>
      </w:r>
      <w:r w:rsidR="0035144D" w:rsidRPr="00CE6165">
        <w:rPr>
          <w:rFonts w:asciiTheme="majorBidi" w:eastAsia="Times New Roman" w:hAnsiTheme="majorBidi" w:cstheme="majorBidi"/>
          <w:szCs w:val="22"/>
        </w:rPr>
        <w:t xml:space="preserve"> 2010;</w:t>
      </w:r>
      <w:r w:rsidR="00211559" w:rsidRPr="00CE6165">
        <w:rPr>
          <w:rFonts w:asciiTheme="majorBidi" w:eastAsia="Times New Roman" w:hAnsiTheme="majorBidi" w:cstheme="majorBidi"/>
          <w:szCs w:val="22"/>
        </w:rPr>
        <w:t xml:space="preserve"> Hayes-Skelton, Roemer,&amp; </w:t>
      </w:r>
      <w:proofErr w:type="spellStart"/>
      <w:r w:rsidR="00211559" w:rsidRPr="00CE6165">
        <w:rPr>
          <w:rFonts w:asciiTheme="majorBidi" w:eastAsia="Times New Roman" w:hAnsiTheme="majorBidi" w:cstheme="majorBidi"/>
          <w:szCs w:val="22"/>
        </w:rPr>
        <w:t>Orsillo</w:t>
      </w:r>
      <w:proofErr w:type="spellEnd"/>
      <w:r w:rsidR="00211559" w:rsidRPr="00CE6165">
        <w:rPr>
          <w:rFonts w:asciiTheme="majorBidi" w:eastAsia="Times New Roman" w:hAnsiTheme="majorBidi" w:cstheme="majorBidi"/>
          <w:szCs w:val="22"/>
        </w:rPr>
        <w:t>, 2013)</w:t>
      </w:r>
      <w:r w:rsidRPr="00CE6165">
        <w:rPr>
          <w:rFonts w:asciiTheme="majorBidi" w:hAnsiTheme="majorBidi" w:cstheme="majorBidi"/>
          <w:sz w:val="24"/>
          <w:szCs w:val="24"/>
        </w:rPr>
        <w:t xml:space="preserve">. Considering the mentioned limitations, recent studies reported that relaxation is not regarded as a main treatment intervention for GAD anymore </w:t>
      </w:r>
      <w:r w:rsidR="00AF30BF" w:rsidRPr="00CE6165">
        <w:rPr>
          <w:rFonts w:asciiTheme="majorBidi" w:hAnsiTheme="majorBidi" w:cstheme="majorBidi"/>
          <w:sz w:val="24"/>
          <w:szCs w:val="24"/>
        </w:rPr>
        <w:t>(</w:t>
      </w:r>
      <w:r w:rsidR="00AF30BF" w:rsidRPr="00CE6165">
        <w:rPr>
          <w:rFonts w:asciiTheme="majorBidi" w:eastAsia="Times New Roman" w:hAnsiTheme="majorBidi" w:cstheme="majorBidi"/>
          <w:szCs w:val="22"/>
        </w:rPr>
        <w:t>Clark &amp; Beck, 2011)</w:t>
      </w:r>
      <w:r w:rsidRPr="00CE6165">
        <w:rPr>
          <w:rFonts w:asciiTheme="majorBidi" w:hAnsiTheme="majorBidi" w:cstheme="majorBidi"/>
          <w:sz w:val="24"/>
          <w:szCs w:val="24"/>
        </w:rPr>
        <w:t xml:space="preserve">. Concerning conventional cognitive interventions, treatment research findings denote that their effectiveness is similar to relaxation techniques. In other words, it seems that conventional cognitive interventions lead to significant but insufficient changes for many patients with GAD </w:t>
      </w:r>
      <w:r w:rsidR="00E76DC5" w:rsidRPr="00CE6165">
        <w:rPr>
          <w:rFonts w:asciiTheme="majorBidi" w:hAnsiTheme="majorBidi" w:cstheme="majorBidi"/>
          <w:sz w:val="24"/>
          <w:szCs w:val="24"/>
        </w:rPr>
        <w:t>(</w:t>
      </w:r>
      <w:r w:rsidR="00E76DC5" w:rsidRPr="00CE6165">
        <w:rPr>
          <w:rFonts w:asciiTheme="majorBidi" w:eastAsia="Times New Roman" w:hAnsiTheme="majorBidi" w:cstheme="majorBidi"/>
          <w:szCs w:val="22"/>
        </w:rPr>
        <w:t xml:space="preserve">Clark &amp; Beck, 2011; Waters &amp; </w:t>
      </w:r>
      <w:proofErr w:type="spellStart"/>
      <w:r w:rsidR="00E76DC5" w:rsidRPr="00CE6165">
        <w:rPr>
          <w:rFonts w:asciiTheme="majorBidi" w:eastAsia="Times New Roman" w:hAnsiTheme="majorBidi" w:cstheme="majorBidi"/>
          <w:szCs w:val="22"/>
        </w:rPr>
        <w:t>Craske</w:t>
      </w:r>
      <w:proofErr w:type="spellEnd"/>
      <w:r w:rsidR="00E76DC5" w:rsidRPr="00CE6165">
        <w:rPr>
          <w:rFonts w:asciiTheme="majorBidi" w:eastAsia="Times New Roman" w:hAnsiTheme="majorBidi" w:cstheme="majorBidi"/>
          <w:szCs w:val="22"/>
        </w:rPr>
        <w:t>, 2005)</w:t>
      </w:r>
      <w:r w:rsidRPr="00CE6165">
        <w:rPr>
          <w:rFonts w:asciiTheme="majorBidi" w:hAnsiTheme="majorBidi" w:cstheme="majorBidi"/>
          <w:sz w:val="24"/>
          <w:szCs w:val="24"/>
        </w:rPr>
        <w:t xml:space="preserve">. One reason for it may be the fact that though there are many ways and high variety for anxiety cognitive therapy, highest emphasis is on reappraisal of probability and cost, which is associated with fear outcome estimation. </w:t>
      </w:r>
      <w:proofErr w:type="spellStart"/>
      <w:r w:rsidRPr="00CE6165">
        <w:rPr>
          <w:rFonts w:asciiTheme="majorBidi" w:hAnsiTheme="majorBidi" w:cstheme="majorBidi"/>
          <w:sz w:val="24"/>
          <w:szCs w:val="24"/>
        </w:rPr>
        <w:t>Koerner</w:t>
      </w:r>
      <w:proofErr w:type="spellEnd"/>
      <w:r w:rsidRPr="00CE6165">
        <w:rPr>
          <w:rFonts w:asciiTheme="majorBidi" w:hAnsiTheme="majorBidi" w:cstheme="majorBidi"/>
          <w:sz w:val="24"/>
          <w:szCs w:val="24"/>
        </w:rPr>
        <w:t xml:space="preserve"> et al</w:t>
      </w:r>
      <w:r w:rsidR="00F97CC8" w:rsidRPr="00CE6165">
        <w:rPr>
          <w:rFonts w:asciiTheme="majorBidi" w:hAnsiTheme="majorBidi" w:cstheme="majorBidi"/>
          <w:sz w:val="24"/>
          <w:szCs w:val="24"/>
        </w:rPr>
        <w:t>(2004)</w:t>
      </w:r>
      <w:r w:rsidRPr="00CE6165">
        <w:rPr>
          <w:rFonts w:asciiTheme="majorBidi" w:hAnsiTheme="majorBidi" w:cstheme="majorBidi"/>
          <w:sz w:val="24"/>
          <w:szCs w:val="24"/>
        </w:rPr>
        <w:t xml:space="preserve"> found that when using standard cognitive therapy for patients with GAD, especially following reappraisal of probability and cost estimates, patients often reported that their worry and anxiety did not reduce. Also they found these individuals need absolute certainty, which ensures that a certain event will not happen or that they will be able to cope with any possible adverse consequences in the future, in order to stop their concerns </w:t>
      </w:r>
      <w:r w:rsidR="00C7510E" w:rsidRPr="00CE6165">
        <w:rPr>
          <w:rFonts w:asciiTheme="majorBidi" w:hAnsiTheme="majorBidi" w:cstheme="majorBidi"/>
          <w:sz w:val="24"/>
          <w:szCs w:val="24"/>
        </w:rPr>
        <w:t>(</w:t>
      </w:r>
      <w:proofErr w:type="spellStart"/>
      <w:r w:rsidR="00C7510E" w:rsidRPr="00CE6165">
        <w:rPr>
          <w:rFonts w:asciiTheme="majorBidi" w:hAnsiTheme="majorBidi" w:cstheme="majorBidi"/>
          <w:sz w:val="24"/>
          <w:szCs w:val="24"/>
        </w:rPr>
        <w:t>Koerner</w:t>
      </w:r>
      <w:proofErr w:type="spellEnd"/>
      <w:r w:rsidR="00C7510E" w:rsidRPr="00CE6165">
        <w:rPr>
          <w:rFonts w:asciiTheme="majorBidi" w:hAnsiTheme="majorBidi" w:cstheme="majorBidi"/>
          <w:sz w:val="24"/>
          <w:szCs w:val="24"/>
        </w:rPr>
        <w:t xml:space="preserve"> et al, 2004)</w:t>
      </w:r>
      <w:r w:rsidRPr="00CE6165">
        <w:rPr>
          <w:rFonts w:asciiTheme="majorBidi" w:hAnsiTheme="majorBidi" w:cstheme="majorBidi"/>
          <w:sz w:val="24"/>
          <w:szCs w:val="24"/>
        </w:rPr>
        <w:t xml:space="preserve">. Therefore, according to these cases, it can be concluded that classic cognitive therapy is not sufficiently effective for most of patients with GAD </w:t>
      </w:r>
      <w:r w:rsidR="002B50BF" w:rsidRPr="00CE6165">
        <w:rPr>
          <w:rFonts w:asciiTheme="majorBidi" w:hAnsiTheme="majorBidi" w:cstheme="majorBidi"/>
          <w:sz w:val="24"/>
          <w:szCs w:val="24"/>
        </w:rPr>
        <w:t>(</w:t>
      </w:r>
      <w:r w:rsidR="002B50BF" w:rsidRPr="00CE6165">
        <w:rPr>
          <w:rFonts w:ascii="Times New Roman" w:eastAsia="Times New Roman" w:hAnsi="Times New Roman" w:cs="Times New Roman"/>
          <w:szCs w:val="22"/>
        </w:rPr>
        <w:t>Dugas &amp; Robichaud, 2007</w:t>
      </w:r>
      <w:r w:rsidR="002B50BF" w:rsidRPr="00CE6165">
        <w:rPr>
          <w:rFonts w:ascii="Times New Roman" w:eastAsia="Times New Roman" w:hAnsi="Times New Roman" w:cs="Times New Roman"/>
          <w:sz w:val="20"/>
        </w:rPr>
        <w:t>)</w:t>
      </w:r>
      <w:r w:rsidRPr="00CE6165">
        <w:rPr>
          <w:rFonts w:asciiTheme="majorBidi" w:hAnsiTheme="majorBidi" w:cstheme="majorBidi"/>
          <w:sz w:val="24"/>
          <w:szCs w:val="24"/>
        </w:rPr>
        <w:t xml:space="preserve">. </w:t>
      </w:r>
    </w:p>
    <w:p w:rsidR="00185091" w:rsidRPr="00CE6165" w:rsidRDefault="00ED5B17" w:rsidP="00ED5B17">
      <w:pPr>
        <w:spacing w:before="100" w:beforeAutospacing="1" w:after="100" w:afterAutospacing="1" w:line="240" w:lineRule="auto"/>
        <w:jc w:val="both"/>
        <w:rPr>
          <w:rFonts w:asciiTheme="majorBidi" w:eastAsia="Calibri" w:hAnsiTheme="majorBidi" w:cstheme="majorBidi"/>
          <w:sz w:val="24"/>
          <w:szCs w:val="24"/>
        </w:rPr>
      </w:pPr>
      <w:r w:rsidRPr="00CE6165">
        <w:rPr>
          <w:rFonts w:asciiTheme="majorBidi" w:hAnsiTheme="majorBidi" w:cstheme="majorBidi"/>
          <w:sz w:val="24"/>
          <w:szCs w:val="24"/>
        </w:rPr>
        <w:lastRenderedPageBreak/>
        <w:t>Pharmacotherapy</w:t>
      </w:r>
      <w:r w:rsidR="00185091" w:rsidRPr="00CE6165">
        <w:rPr>
          <w:rFonts w:asciiTheme="majorBidi" w:hAnsiTheme="majorBidi" w:cstheme="majorBidi"/>
          <w:sz w:val="24"/>
          <w:szCs w:val="24"/>
        </w:rPr>
        <w:t xml:space="preserve"> may be the preferred treatment for patients which do not tend or are not able to use psychological approaches. Various studies have indicated that </w:t>
      </w:r>
      <w:r w:rsidRPr="00CE6165">
        <w:rPr>
          <w:rFonts w:asciiTheme="majorBidi" w:hAnsiTheme="majorBidi" w:cstheme="majorBidi"/>
          <w:sz w:val="24"/>
          <w:szCs w:val="24"/>
        </w:rPr>
        <w:t xml:space="preserve">Pharmacotherapy </w:t>
      </w:r>
      <w:r w:rsidR="00185091" w:rsidRPr="00CE6165">
        <w:rPr>
          <w:rFonts w:asciiTheme="majorBidi" w:hAnsiTheme="majorBidi" w:cstheme="majorBidi"/>
          <w:sz w:val="24"/>
          <w:szCs w:val="24"/>
        </w:rPr>
        <w:t xml:space="preserve">is effective in treatment of </w:t>
      </w:r>
      <w:r w:rsidRPr="00CE6165">
        <w:rPr>
          <w:rFonts w:asciiTheme="majorBidi" w:hAnsiTheme="majorBidi" w:cstheme="majorBidi"/>
          <w:sz w:val="24"/>
          <w:szCs w:val="24"/>
        </w:rPr>
        <w:t>GAD</w:t>
      </w:r>
      <w:r w:rsidR="00185091" w:rsidRPr="00CE6165">
        <w:rPr>
          <w:rFonts w:asciiTheme="majorBidi" w:hAnsiTheme="majorBidi" w:cstheme="majorBidi"/>
          <w:sz w:val="24"/>
          <w:szCs w:val="24"/>
        </w:rPr>
        <w:t xml:space="preserve"> </w:t>
      </w:r>
      <w:r w:rsidR="003C3CFA" w:rsidRPr="00CE6165">
        <w:rPr>
          <w:rFonts w:asciiTheme="majorBidi" w:hAnsiTheme="majorBidi" w:cstheme="majorBidi"/>
          <w:sz w:val="24"/>
          <w:szCs w:val="24"/>
        </w:rPr>
        <w:t>(</w:t>
      </w:r>
      <w:r w:rsidR="00205D0F" w:rsidRPr="00CE6165">
        <w:rPr>
          <w:rFonts w:ascii="Times New Roman" w:eastAsia="Times New Roman" w:hAnsi="Times New Roman" w:cs="Times New Roman"/>
          <w:szCs w:val="22"/>
        </w:rPr>
        <w:t xml:space="preserve">Baldwin, </w:t>
      </w:r>
      <w:proofErr w:type="spellStart"/>
      <w:r w:rsidR="00205D0F" w:rsidRPr="00CE6165">
        <w:rPr>
          <w:rFonts w:ascii="Times New Roman" w:eastAsia="Times New Roman" w:hAnsi="Times New Roman" w:cs="Times New Roman"/>
          <w:szCs w:val="22"/>
        </w:rPr>
        <w:t>Hou</w:t>
      </w:r>
      <w:proofErr w:type="spellEnd"/>
      <w:r w:rsidR="00205D0F" w:rsidRPr="00CE6165">
        <w:rPr>
          <w:rFonts w:ascii="Times New Roman" w:eastAsia="Times New Roman" w:hAnsi="Times New Roman" w:cs="Times New Roman"/>
          <w:szCs w:val="22"/>
        </w:rPr>
        <w:t xml:space="preserve">, Gordon, </w:t>
      </w:r>
      <w:proofErr w:type="spellStart"/>
      <w:r w:rsidR="00205D0F" w:rsidRPr="00CE6165">
        <w:rPr>
          <w:rFonts w:ascii="Times New Roman" w:eastAsia="Times New Roman" w:hAnsi="Times New Roman" w:cs="Times New Roman"/>
          <w:szCs w:val="22"/>
        </w:rPr>
        <w:t>Huneke</w:t>
      </w:r>
      <w:proofErr w:type="spellEnd"/>
      <w:r w:rsidR="003C3CFA" w:rsidRPr="00CE6165">
        <w:rPr>
          <w:rFonts w:ascii="Times New Roman" w:eastAsia="Times New Roman" w:hAnsi="Times New Roman" w:cs="Times New Roman"/>
          <w:szCs w:val="22"/>
        </w:rPr>
        <w:t>, &amp;</w:t>
      </w:r>
      <w:r w:rsidR="00205D0F" w:rsidRPr="00CE6165">
        <w:rPr>
          <w:rFonts w:ascii="Times New Roman" w:eastAsia="Times New Roman" w:hAnsi="Times New Roman" w:cs="Times New Roman"/>
          <w:szCs w:val="22"/>
        </w:rPr>
        <w:t xml:space="preserve"> Garner</w:t>
      </w:r>
      <w:r w:rsidR="003C3CFA" w:rsidRPr="00CE6165">
        <w:rPr>
          <w:rFonts w:ascii="Times New Roman" w:eastAsia="Times New Roman" w:hAnsi="Times New Roman" w:cs="Times New Roman"/>
          <w:szCs w:val="22"/>
        </w:rPr>
        <w:t>, 2017</w:t>
      </w:r>
      <w:r w:rsidR="00205D0F" w:rsidRPr="00CE6165">
        <w:rPr>
          <w:rFonts w:ascii="Times New Roman" w:eastAsia="Times New Roman" w:hAnsi="Times New Roman" w:cs="Times New Roman"/>
          <w:szCs w:val="22"/>
        </w:rPr>
        <w:t xml:space="preserve">; </w:t>
      </w:r>
      <w:proofErr w:type="spellStart"/>
      <w:r w:rsidR="003C3CFA" w:rsidRPr="00CE6165">
        <w:rPr>
          <w:rFonts w:ascii="Times New Roman" w:eastAsia="Times New Roman" w:hAnsi="Times New Roman" w:cs="Times New Roman"/>
          <w:szCs w:val="22"/>
        </w:rPr>
        <w:t>Bandelow</w:t>
      </w:r>
      <w:proofErr w:type="spellEnd"/>
      <w:r w:rsidR="003C3CFA" w:rsidRPr="00CE6165">
        <w:rPr>
          <w:rFonts w:ascii="Times New Roman" w:eastAsia="Times New Roman" w:hAnsi="Times New Roman" w:cs="Times New Roman"/>
          <w:szCs w:val="22"/>
        </w:rPr>
        <w:t xml:space="preserve"> </w:t>
      </w:r>
      <w:r w:rsidR="00B47427" w:rsidRPr="00CE6165">
        <w:rPr>
          <w:rFonts w:ascii="Times New Roman" w:eastAsia="Times New Roman" w:hAnsi="Times New Roman" w:cs="Times New Roman"/>
          <w:szCs w:val="22"/>
        </w:rPr>
        <w:t xml:space="preserve">et al, </w:t>
      </w:r>
      <w:r w:rsidR="003C3CFA" w:rsidRPr="00CE6165">
        <w:rPr>
          <w:rFonts w:ascii="Times New Roman" w:eastAsia="Times New Roman" w:hAnsi="Times New Roman" w:cs="Times New Roman"/>
          <w:szCs w:val="22"/>
        </w:rPr>
        <w:t>2015</w:t>
      </w:r>
      <w:r w:rsidR="003C3CFA" w:rsidRPr="00CE6165">
        <w:rPr>
          <w:rFonts w:asciiTheme="majorBidi" w:hAnsiTheme="majorBidi" w:cstheme="majorBidi"/>
          <w:sz w:val="24"/>
          <w:szCs w:val="24"/>
        </w:rPr>
        <w:t>)</w:t>
      </w:r>
      <w:r w:rsidR="00185091" w:rsidRPr="00CE6165">
        <w:rPr>
          <w:rFonts w:asciiTheme="majorBidi" w:hAnsiTheme="majorBidi" w:cstheme="majorBidi"/>
          <w:sz w:val="24"/>
          <w:szCs w:val="24"/>
        </w:rPr>
        <w:t xml:space="preserve">. Given recent treatment guidelines, the first line of </w:t>
      </w:r>
      <w:r w:rsidRPr="00CE6165">
        <w:rPr>
          <w:rFonts w:asciiTheme="majorBidi" w:hAnsiTheme="majorBidi" w:cstheme="majorBidi"/>
          <w:sz w:val="24"/>
          <w:szCs w:val="24"/>
        </w:rPr>
        <w:t xml:space="preserve">Pharmacotherapy </w:t>
      </w:r>
      <w:r w:rsidR="00185091" w:rsidRPr="00CE6165">
        <w:rPr>
          <w:rFonts w:asciiTheme="majorBidi" w:hAnsiTheme="majorBidi" w:cstheme="majorBidi"/>
          <w:sz w:val="24"/>
          <w:szCs w:val="24"/>
        </w:rPr>
        <w:t xml:space="preserve">for GAD contains selective serotonin reuptake inhibitors (SSRIs) and serotonin and noradrenaline reuptake inhibitors (SNRIs) </w:t>
      </w:r>
      <w:r w:rsidR="00E952CF" w:rsidRPr="00CE6165">
        <w:rPr>
          <w:rFonts w:asciiTheme="majorBidi" w:hAnsiTheme="majorBidi" w:cstheme="majorBidi"/>
          <w:sz w:val="24"/>
          <w:szCs w:val="24"/>
        </w:rPr>
        <w:t>(</w:t>
      </w:r>
      <w:proofErr w:type="spellStart"/>
      <w:r w:rsidR="003C3CFA" w:rsidRPr="00CE6165">
        <w:rPr>
          <w:rFonts w:ascii="Times New Roman" w:eastAsia="Times New Roman" w:hAnsi="Times New Roman" w:cs="Times New Roman"/>
          <w:szCs w:val="22"/>
        </w:rPr>
        <w:t>Katzman</w:t>
      </w:r>
      <w:proofErr w:type="spellEnd"/>
      <w:r w:rsidR="003C3CFA" w:rsidRPr="00CE6165">
        <w:rPr>
          <w:rFonts w:ascii="Times New Roman" w:eastAsia="Times New Roman" w:hAnsi="Times New Roman" w:cs="Times New Roman"/>
          <w:szCs w:val="22"/>
        </w:rPr>
        <w:t xml:space="preserve"> et al</w:t>
      </w:r>
      <w:r w:rsidR="00185091" w:rsidRPr="00CE6165">
        <w:rPr>
          <w:rFonts w:asciiTheme="majorBidi" w:hAnsiTheme="majorBidi" w:cstheme="majorBidi"/>
          <w:szCs w:val="22"/>
        </w:rPr>
        <w:t xml:space="preserve">, </w:t>
      </w:r>
      <w:r w:rsidR="003C3CFA" w:rsidRPr="00CE6165">
        <w:rPr>
          <w:rFonts w:ascii="Times New Roman" w:eastAsia="Times New Roman" w:hAnsi="Times New Roman" w:cs="Times New Roman"/>
          <w:szCs w:val="22"/>
        </w:rPr>
        <w:t>2014</w:t>
      </w:r>
      <w:r w:rsidR="00E952CF" w:rsidRPr="00CE6165">
        <w:rPr>
          <w:rFonts w:ascii="Times New Roman" w:eastAsia="Times New Roman" w:hAnsi="Times New Roman" w:cs="Times New Roman"/>
          <w:szCs w:val="22"/>
        </w:rPr>
        <w:t>; Baldwin et al, 2014</w:t>
      </w:r>
      <w:r w:rsidR="00E952CF" w:rsidRPr="00CE6165">
        <w:rPr>
          <w:rFonts w:asciiTheme="majorBidi" w:hAnsiTheme="majorBidi" w:cstheme="majorBidi"/>
          <w:sz w:val="24"/>
          <w:szCs w:val="24"/>
        </w:rPr>
        <w:t>)</w:t>
      </w:r>
      <w:r w:rsidR="00185091" w:rsidRPr="00CE6165">
        <w:rPr>
          <w:rFonts w:asciiTheme="majorBidi" w:hAnsiTheme="majorBidi" w:cstheme="majorBidi"/>
          <w:sz w:val="24"/>
          <w:szCs w:val="24"/>
        </w:rPr>
        <w:t xml:space="preserve">. There is also good evidence for the efficacy of </w:t>
      </w:r>
      <w:proofErr w:type="spellStart"/>
      <w:r w:rsidR="00185091" w:rsidRPr="00CE6165">
        <w:rPr>
          <w:rFonts w:asciiTheme="majorBidi" w:hAnsiTheme="majorBidi" w:cstheme="majorBidi"/>
          <w:sz w:val="24"/>
          <w:szCs w:val="24"/>
        </w:rPr>
        <w:t>pregabalin</w:t>
      </w:r>
      <w:proofErr w:type="spellEnd"/>
      <w:r w:rsidR="00185091" w:rsidRPr="00CE6165">
        <w:rPr>
          <w:rFonts w:asciiTheme="majorBidi" w:hAnsiTheme="majorBidi" w:cstheme="majorBidi"/>
          <w:sz w:val="24"/>
          <w:szCs w:val="24"/>
        </w:rPr>
        <w:t xml:space="preserve"> and quetiapine, and research studies have shown that these drugs are effective in long-term treatment of GAD </w:t>
      </w:r>
      <w:r w:rsidR="00D424D3" w:rsidRPr="00CE6165">
        <w:rPr>
          <w:rFonts w:asciiTheme="majorBidi" w:hAnsiTheme="majorBidi" w:cstheme="majorBidi"/>
          <w:sz w:val="24"/>
          <w:szCs w:val="24"/>
        </w:rPr>
        <w:t>(</w:t>
      </w:r>
      <w:proofErr w:type="spellStart"/>
      <w:r w:rsidR="00D424D3" w:rsidRPr="00CE6165">
        <w:rPr>
          <w:rFonts w:ascii="Times New Roman" w:eastAsia="Times New Roman" w:hAnsi="Times New Roman" w:cs="Times New Roman"/>
          <w:szCs w:val="22"/>
        </w:rPr>
        <w:t>Perna</w:t>
      </w:r>
      <w:proofErr w:type="spellEnd"/>
      <w:r w:rsidR="00D424D3" w:rsidRPr="00CE6165">
        <w:rPr>
          <w:rFonts w:ascii="Times New Roman" w:eastAsia="Times New Roman" w:hAnsi="Times New Roman" w:cs="Times New Roman"/>
          <w:szCs w:val="22"/>
        </w:rPr>
        <w:t xml:space="preserve">, </w:t>
      </w:r>
      <w:proofErr w:type="spellStart"/>
      <w:r w:rsidR="00D424D3" w:rsidRPr="00CE6165">
        <w:rPr>
          <w:rFonts w:ascii="Times New Roman" w:eastAsia="Times New Roman" w:hAnsi="Times New Roman" w:cs="Times New Roman"/>
          <w:szCs w:val="22"/>
        </w:rPr>
        <w:t>Alciati</w:t>
      </w:r>
      <w:proofErr w:type="spellEnd"/>
      <w:r w:rsidR="00D424D3" w:rsidRPr="00CE6165">
        <w:rPr>
          <w:rFonts w:ascii="Times New Roman" w:eastAsia="Times New Roman" w:hAnsi="Times New Roman" w:cs="Times New Roman"/>
          <w:szCs w:val="22"/>
        </w:rPr>
        <w:t xml:space="preserve">, Riva, </w:t>
      </w:r>
      <w:proofErr w:type="spellStart"/>
      <w:r w:rsidR="00D424D3" w:rsidRPr="00CE6165">
        <w:rPr>
          <w:rFonts w:ascii="Times New Roman" w:eastAsia="Times New Roman" w:hAnsi="Times New Roman" w:cs="Times New Roman"/>
          <w:szCs w:val="22"/>
        </w:rPr>
        <w:t>Micieli</w:t>
      </w:r>
      <w:proofErr w:type="spellEnd"/>
      <w:r w:rsidR="00D424D3" w:rsidRPr="00CE6165">
        <w:rPr>
          <w:rFonts w:ascii="Times New Roman" w:eastAsia="Times New Roman" w:hAnsi="Times New Roman" w:cs="Times New Roman"/>
          <w:szCs w:val="22"/>
        </w:rPr>
        <w:t xml:space="preserve">, &amp; </w:t>
      </w:r>
      <w:proofErr w:type="spellStart"/>
      <w:r w:rsidR="00D424D3" w:rsidRPr="00CE6165">
        <w:rPr>
          <w:rFonts w:ascii="Times New Roman" w:eastAsia="Times New Roman" w:hAnsi="Times New Roman" w:cs="Times New Roman"/>
          <w:szCs w:val="22"/>
        </w:rPr>
        <w:t>Caldirola</w:t>
      </w:r>
      <w:proofErr w:type="spellEnd"/>
      <w:r w:rsidR="00D424D3" w:rsidRPr="00CE6165">
        <w:rPr>
          <w:rFonts w:asciiTheme="majorBidi" w:hAnsiTheme="majorBidi" w:cstheme="majorBidi"/>
          <w:szCs w:val="22"/>
        </w:rPr>
        <w:t xml:space="preserve">, 2016; </w:t>
      </w:r>
      <w:r w:rsidR="00D424D3" w:rsidRPr="00CE6165">
        <w:rPr>
          <w:rFonts w:ascii="Times New Roman" w:eastAsia="Times New Roman" w:hAnsi="Times New Roman" w:cs="Times New Roman"/>
          <w:szCs w:val="22"/>
        </w:rPr>
        <w:t>Montgomery et al, 2017</w:t>
      </w:r>
      <w:r w:rsidR="00D424D3" w:rsidRPr="00CE6165">
        <w:rPr>
          <w:rFonts w:asciiTheme="majorBidi" w:hAnsiTheme="majorBidi" w:cstheme="majorBidi"/>
          <w:sz w:val="24"/>
          <w:szCs w:val="24"/>
        </w:rPr>
        <w:t>)</w:t>
      </w:r>
      <w:r w:rsidR="00185091" w:rsidRPr="00CE6165">
        <w:rPr>
          <w:rFonts w:asciiTheme="majorBidi" w:hAnsiTheme="majorBidi" w:cstheme="majorBidi"/>
          <w:sz w:val="24"/>
          <w:szCs w:val="24"/>
        </w:rPr>
        <w:t>.</w:t>
      </w:r>
      <w:r w:rsidR="00185091" w:rsidRPr="00CE6165">
        <w:rPr>
          <w:rFonts w:asciiTheme="majorBidi" w:hAnsiTheme="majorBidi" w:cstheme="majorBidi"/>
          <w:color w:val="222222"/>
          <w:sz w:val="24"/>
          <w:szCs w:val="24"/>
          <w:shd w:val="clear" w:color="auto" w:fill="FFFFFF"/>
        </w:rPr>
        <w:t xml:space="preserve"> </w:t>
      </w:r>
      <w:proofErr w:type="spellStart"/>
      <w:r w:rsidR="00185091" w:rsidRPr="00CE6165">
        <w:rPr>
          <w:rFonts w:asciiTheme="majorBidi" w:hAnsiTheme="majorBidi" w:cstheme="majorBidi"/>
          <w:sz w:val="24"/>
          <w:szCs w:val="24"/>
        </w:rPr>
        <w:t>Buspirone</w:t>
      </w:r>
      <w:proofErr w:type="spellEnd"/>
      <w:r w:rsidR="00185091" w:rsidRPr="00CE6165">
        <w:rPr>
          <w:rFonts w:asciiTheme="majorBidi" w:hAnsiTheme="majorBidi" w:cstheme="majorBidi"/>
          <w:sz w:val="24"/>
          <w:szCs w:val="24"/>
        </w:rPr>
        <w:t xml:space="preserve">, </w:t>
      </w:r>
      <w:proofErr w:type="spellStart"/>
      <w:r w:rsidR="00185091" w:rsidRPr="00CE6165">
        <w:rPr>
          <w:rFonts w:asciiTheme="majorBidi" w:hAnsiTheme="majorBidi" w:cstheme="majorBidi"/>
          <w:sz w:val="24"/>
          <w:szCs w:val="24"/>
        </w:rPr>
        <w:t>Benzodiazpine</w:t>
      </w:r>
      <w:proofErr w:type="spellEnd"/>
      <w:r w:rsidR="00185091" w:rsidRPr="00CE6165">
        <w:rPr>
          <w:rFonts w:asciiTheme="majorBidi" w:hAnsiTheme="majorBidi" w:cstheme="majorBidi"/>
          <w:sz w:val="24"/>
          <w:szCs w:val="24"/>
        </w:rPr>
        <w:t xml:space="preserve">, &amp; Hydroxyzine may also be beneficial therapeutic options </w:t>
      </w:r>
      <w:r w:rsidR="00D424D3" w:rsidRPr="00CE6165">
        <w:rPr>
          <w:rFonts w:asciiTheme="majorBidi" w:hAnsiTheme="majorBidi" w:cstheme="majorBidi"/>
          <w:sz w:val="24"/>
          <w:szCs w:val="24"/>
        </w:rPr>
        <w:t>(</w:t>
      </w:r>
      <w:r w:rsidR="00D424D3" w:rsidRPr="00CE6165">
        <w:rPr>
          <w:rFonts w:ascii="Times New Roman" w:eastAsia="Times New Roman" w:hAnsi="Times New Roman" w:cs="Times New Roman"/>
          <w:szCs w:val="22"/>
        </w:rPr>
        <w:t>Baldwin, Waldman, &amp;</w:t>
      </w:r>
      <w:proofErr w:type="spellStart"/>
      <w:r w:rsidR="00D424D3" w:rsidRPr="00CE6165">
        <w:rPr>
          <w:rFonts w:ascii="Times New Roman" w:eastAsia="Times New Roman" w:hAnsi="Times New Roman" w:cs="Times New Roman"/>
          <w:szCs w:val="22"/>
        </w:rPr>
        <w:t>Allgulander</w:t>
      </w:r>
      <w:proofErr w:type="spellEnd"/>
      <w:r w:rsidR="00D424D3" w:rsidRPr="00CE6165">
        <w:rPr>
          <w:rFonts w:ascii="Times New Roman" w:eastAsia="Times New Roman" w:hAnsi="Times New Roman" w:cs="Times New Roman"/>
          <w:szCs w:val="22"/>
        </w:rPr>
        <w:t>, 2011</w:t>
      </w:r>
      <w:r w:rsidR="00D424D3" w:rsidRPr="00CE6165">
        <w:rPr>
          <w:rFonts w:asciiTheme="majorBidi" w:hAnsiTheme="majorBidi" w:cstheme="majorBidi"/>
          <w:sz w:val="24"/>
          <w:szCs w:val="24"/>
        </w:rPr>
        <w:t>)</w:t>
      </w:r>
      <w:r w:rsidR="00185091" w:rsidRPr="00CE6165">
        <w:rPr>
          <w:rFonts w:asciiTheme="majorBidi" w:hAnsiTheme="majorBidi" w:cstheme="majorBidi"/>
          <w:sz w:val="24"/>
          <w:szCs w:val="24"/>
        </w:rPr>
        <w:t xml:space="preserve">. Despite of multiple drug factors, the response rate to starting treatment with SSRI or SNRI is still inadequate for GAD treatment. Benzodiazepine is effective in short-term treatment, but it creates tolerance if it continues, and hydroxyzine also has side effects such as rheumatism. In addition, a considerable part of patients with GAD may suffer from side effects (AES), relapse and recurrence, discontinuation of symptoms and functional impairment </w:t>
      </w:r>
      <w:r w:rsidR="00946C52" w:rsidRPr="00CE6165">
        <w:rPr>
          <w:rFonts w:asciiTheme="majorBidi" w:hAnsiTheme="majorBidi" w:cstheme="majorBidi"/>
          <w:sz w:val="24"/>
          <w:szCs w:val="24"/>
        </w:rPr>
        <w:t>(</w:t>
      </w:r>
      <w:r w:rsidR="00946C52" w:rsidRPr="00CE6165">
        <w:rPr>
          <w:rFonts w:ascii="Times New Roman" w:eastAsia="Times New Roman" w:hAnsi="Times New Roman" w:cs="Times New Roman"/>
          <w:szCs w:val="22"/>
        </w:rPr>
        <w:t>Baldwin et al,</w:t>
      </w:r>
      <w:r w:rsidR="00946C52" w:rsidRPr="00CE6165">
        <w:rPr>
          <w:rFonts w:asciiTheme="majorBidi" w:hAnsiTheme="majorBidi" w:cstheme="majorBidi"/>
          <w:szCs w:val="22"/>
        </w:rPr>
        <w:t xml:space="preserve"> 2017</w:t>
      </w:r>
      <w:r w:rsidR="00946C52" w:rsidRPr="00CE6165">
        <w:rPr>
          <w:rFonts w:asciiTheme="majorBidi" w:hAnsiTheme="majorBidi" w:cstheme="majorBidi"/>
          <w:sz w:val="24"/>
          <w:szCs w:val="24"/>
        </w:rPr>
        <w:t>)</w:t>
      </w:r>
      <w:r w:rsidR="00185091" w:rsidRPr="00CE6165">
        <w:rPr>
          <w:rFonts w:asciiTheme="majorBidi" w:hAnsiTheme="majorBidi" w:cstheme="majorBidi"/>
          <w:sz w:val="24"/>
          <w:szCs w:val="24"/>
        </w:rPr>
        <w:t>.</w:t>
      </w:r>
    </w:p>
    <w:p w:rsidR="00185091" w:rsidRPr="00CE6165" w:rsidRDefault="00185091" w:rsidP="00ED3043">
      <w:pPr>
        <w:spacing w:before="100" w:beforeAutospacing="1" w:after="100" w:afterAutospacing="1" w:line="240" w:lineRule="auto"/>
        <w:jc w:val="both"/>
        <w:rPr>
          <w:rFonts w:asciiTheme="majorBidi" w:eastAsia="Times New Roman" w:hAnsiTheme="majorBidi" w:cstheme="majorBidi"/>
          <w:sz w:val="24"/>
          <w:szCs w:val="24"/>
        </w:rPr>
      </w:pPr>
      <w:r w:rsidRPr="00CE6165">
        <w:rPr>
          <w:rFonts w:asciiTheme="majorBidi" w:hAnsiTheme="majorBidi" w:cstheme="majorBidi"/>
          <w:sz w:val="24"/>
          <w:szCs w:val="24"/>
        </w:rPr>
        <w:t xml:space="preserve">Although such interventions as cognitive and </w:t>
      </w:r>
      <w:r w:rsidR="00ED5B17" w:rsidRPr="00CE6165">
        <w:rPr>
          <w:rFonts w:asciiTheme="majorBidi" w:hAnsiTheme="majorBidi" w:cstheme="majorBidi"/>
          <w:sz w:val="24"/>
          <w:szCs w:val="24"/>
        </w:rPr>
        <w:t xml:space="preserve">Pharmacotherapy </w:t>
      </w:r>
      <w:r w:rsidRPr="00CE6165">
        <w:rPr>
          <w:rFonts w:asciiTheme="majorBidi" w:hAnsiTheme="majorBidi" w:cstheme="majorBidi"/>
          <w:sz w:val="24"/>
          <w:szCs w:val="24"/>
        </w:rPr>
        <w:t xml:space="preserve">are effective in improvement of patients with GAD, research evidence show that therapeutic achievements of these interventions do not persist in the long-term follow-up phases, so that the effectiveness level of standard psychological therapy and drug therapy is reported as only about 50 percent, although the rate of recovery in the various studies was completely different </w:t>
      </w:r>
      <w:r w:rsidR="00E8254A" w:rsidRPr="00CE6165">
        <w:rPr>
          <w:rFonts w:asciiTheme="majorBidi" w:hAnsiTheme="majorBidi" w:cstheme="majorBidi"/>
          <w:sz w:val="24"/>
          <w:szCs w:val="24"/>
        </w:rPr>
        <w:t>(</w:t>
      </w:r>
      <w:r w:rsidR="00ED3043" w:rsidRPr="00CE6165">
        <w:rPr>
          <w:rFonts w:asciiTheme="majorBidi" w:hAnsiTheme="majorBidi" w:cstheme="majorBidi"/>
          <w:color w:val="222222"/>
          <w:sz w:val="20"/>
          <w:shd w:val="clear" w:color="auto" w:fill="FFFFFF"/>
        </w:rPr>
        <w:t xml:space="preserve">Andrews, Mahoney, </w:t>
      </w:r>
      <w:proofErr w:type="spellStart"/>
      <w:r w:rsidR="00ED3043" w:rsidRPr="00CE6165">
        <w:rPr>
          <w:rFonts w:asciiTheme="majorBidi" w:hAnsiTheme="majorBidi" w:cstheme="majorBidi"/>
          <w:color w:val="222222"/>
          <w:sz w:val="20"/>
          <w:shd w:val="clear" w:color="auto" w:fill="FFFFFF"/>
        </w:rPr>
        <w:t>Genderson</w:t>
      </w:r>
      <w:proofErr w:type="spellEnd"/>
      <w:r w:rsidR="00ED3043" w:rsidRPr="00CE6165">
        <w:rPr>
          <w:rFonts w:asciiTheme="majorBidi" w:hAnsiTheme="majorBidi" w:cstheme="majorBidi"/>
          <w:color w:val="222222"/>
          <w:sz w:val="20"/>
          <w:shd w:val="clear" w:color="auto" w:fill="FFFFFF"/>
        </w:rPr>
        <w:t>, &amp; Hobbs, 2016</w:t>
      </w:r>
      <w:r w:rsidR="00E8254A" w:rsidRPr="00CE6165">
        <w:rPr>
          <w:rFonts w:asciiTheme="majorBidi" w:eastAsia="Times New Roman" w:hAnsiTheme="majorBidi" w:cstheme="majorBidi"/>
          <w:szCs w:val="22"/>
        </w:rPr>
        <w:t>)</w:t>
      </w:r>
      <w:r w:rsidRPr="00CE6165">
        <w:rPr>
          <w:rFonts w:asciiTheme="majorBidi" w:hAnsiTheme="majorBidi" w:cstheme="majorBidi"/>
          <w:sz w:val="24"/>
          <w:szCs w:val="24"/>
        </w:rPr>
        <w:t>.</w:t>
      </w:r>
    </w:p>
    <w:p w:rsidR="00185091" w:rsidRPr="00CE6165" w:rsidRDefault="00185091" w:rsidP="007366BC">
      <w:pPr>
        <w:spacing w:before="100" w:beforeAutospacing="1" w:after="100" w:afterAutospacing="1" w:line="240" w:lineRule="auto"/>
        <w:jc w:val="both"/>
        <w:rPr>
          <w:rFonts w:asciiTheme="majorBidi" w:eastAsia="Times New Roman" w:hAnsiTheme="majorBidi" w:cstheme="majorBidi"/>
          <w:sz w:val="24"/>
          <w:szCs w:val="24"/>
        </w:rPr>
      </w:pPr>
      <w:r w:rsidRPr="00CE6165">
        <w:rPr>
          <w:rFonts w:asciiTheme="majorBidi" w:hAnsiTheme="majorBidi" w:cstheme="majorBidi"/>
          <w:sz w:val="24"/>
          <w:szCs w:val="24"/>
        </w:rPr>
        <w:t xml:space="preserve">These findings are controversial and imply that current conventional treatments have some limitations despite of relative success regarding GAD, and their results are not considered as much satisfactory. However, some progresses have been observed recently and there are promising evidence suggesting that the newer types of cognitive therapy, which focus on specific features of this disorder, may improve the treatment outcome </w:t>
      </w:r>
      <w:r w:rsidR="005E6663" w:rsidRPr="00CE6165">
        <w:rPr>
          <w:rFonts w:asciiTheme="majorBidi" w:hAnsiTheme="majorBidi" w:cstheme="majorBidi"/>
          <w:sz w:val="24"/>
          <w:szCs w:val="24"/>
        </w:rPr>
        <w:t>(</w:t>
      </w:r>
      <w:r w:rsidR="005E6663" w:rsidRPr="00CE6165">
        <w:rPr>
          <w:rFonts w:asciiTheme="majorBidi" w:hAnsiTheme="majorBidi" w:cstheme="majorBidi"/>
          <w:szCs w:val="22"/>
        </w:rPr>
        <w:t>Robichaud, 2013</w:t>
      </w:r>
      <w:r w:rsidR="005E6663" w:rsidRPr="00CE6165">
        <w:rPr>
          <w:rFonts w:asciiTheme="majorBidi" w:hAnsiTheme="majorBidi" w:cstheme="majorBidi"/>
          <w:sz w:val="24"/>
          <w:szCs w:val="24"/>
        </w:rPr>
        <w:t>)</w:t>
      </w:r>
      <w:r w:rsidRPr="00CE6165">
        <w:rPr>
          <w:rFonts w:asciiTheme="majorBidi" w:hAnsiTheme="majorBidi" w:cstheme="majorBidi"/>
          <w:sz w:val="24"/>
          <w:szCs w:val="24"/>
        </w:rPr>
        <w:t xml:space="preserve">. The model proposed by Dugas et al. is one of the relatively new models for GAD which emphasizes on the specific feature of intolerance of uncertainty </w:t>
      </w:r>
      <w:r w:rsidR="00A45DFE" w:rsidRPr="00CE6165">
        <w:rPr>
          <w:rFonts w:asciiTheme="majorBidi" w:hAnsiTheme="majorBidi" w:cstheme="majorBidi"/>
          <w:sz w:val="24"/>
          <w:szCs w:val="24"/>
        </w:rPr>
        <w:t>(</w:t>
      </w:r>
      <w:proofErr w:type="spellStart"/>
      <w:r w:rsidR="00A45DFE" w:rsidRPr="00CE6165">
        <w:rPr>
          <w:rFonts w:ascii="Times New Roman" w:eastAsia="Times New Roman" w:hAnsi="Times New Roman" w:cs="Times New Roman"/>
          <w:szCs w:val="22"/>
        </w:rPr>
        <w:t>Dugas</w:t>
      </w:r>
      <w:proofErr w:type="spellEnd"/>
      <w:r w:rsidR="00A45DFE" w:rsidRPr="00CE6165">
        <w:rPr>
          <w:rFonts w:ascii="Times New Roman" w:eastAsia="Times New Roman" w:hAnsi="Times New Roman" w:cs="Times New Roman"/>
          <w:szCs w:val="22"/>
        </w:rPr>
        <w:t xml:space="preserve">, Gagnon, </w:t>
      </w:r>
      <w:proofErr w:type="spellStart"/>
      <w:r w:rsidR="00A45DFE" w:rsidRPr="00CE6165">
        <w:rPr>
          <w:rFonts w:ascii="Times New Roman" w:eastAsia="Times New Roman" w:hAnsi="Times New Roman" w:cs="Times New Roman"/>
          <w:szCs w:val="22"/>
        </w:rPr>
        <w:t>Ladouceur</w:t>
      </w:r>
      <w:proofErr w:type="spellEnd"/>
      <w:r w:rsidR="00A45DFE" w:rsidRPr="00CE6165">
        <w:rPr>
          <w:rFonts w:ascii="Times New Roman" w:eastAsia="Times New Roman" w:hAnsi="Times New Roman" w:cs="Times New Roman"/>
          <w:szCs w:val="22"/>
        </w:rPr>
        <w:t xml:space="preserve">, &amp; </w:t>
      </w:r>
      <w:proofErr w:type="spellStart"/>
      <w:r w:rsidR="00A45DFE" w:rsidRPr="00CE6165">
        <w:rPr>
          <w:rFonts w:ascii="Times New Roman" w:eastAsia="Times New Roman" w:hAnsi="Times New Roman" w:cs="Times New Roman"/>
          <w:szCs w:val="22"/>
        </w:rPr>
        <w:t>Freeston</w:t>
      </w:r>
      <w:proofErr w:type="spellEnd"/>
      <w:r w:rsidR="00A45DFE" w:rsidRPr="00CE6165">
        <w:rPr>
          <w:rFonts w:ascii="Times New Roman" w:eastAsia="Times New Roman" w:hAnsi="Times New Roman" w:cs="Times New Roman"/>
          <w:szCs w:val="22"/>
        </w:rPr>
        <w:t xml:space="preserve">, 1998; </w:t>
      </w:r>
      <w:proofErr w:type="spellStart"/>
      <w:r w:rsidR="00A45DFE" w:rsidRPr="00CE6165">
        <w:rPr>
          <w:rFonts w:ascii="Times New Roman" w:eastAsia="Times New Roman" w:hAnsi="Times New Roman" w:cs="Times New Roman"/>
          <w:szCs w:val="22"/>
        </w:rPr>
        <w:t>Dugas</w:t>
      </w:r>
      <w:proofErr w:type="spellEnd"/>
      <w:r w:rsidR="00A45DFE" w:rsidRPr="00CE6165">
        <w:rPr>
          <w:rFonts w:ascii="Times New Roman" w:eastAsia="Times New Roman" w:hAnsi="Times New Roman" w:cs="Times New Roman"/>
          <w:szCs w:val="22"/>
        </w:rPr>
        <w:t xml:space="preserve"> &amp; Robichaud, 2007)</w:t>
      </w:r>
      <w:r w:rsidRPr="00CE6165">
        <w:rPr>
          <w:rFonts w:asciiTheme="majorBidi" w:hAnsiTheme="majorBidi" w:cstheme="majorBidi"/>
          <w:sz w:val="24"/>
          <w:szCs w:val="24"/>
        </w:rPr>
        <w:t xml:space="preserve">. This model </w:t>
      </w:r>
      <w:r w:rsidR="007366BC" w:rsidRPr="00CE6165">
        <w:rPr>
          <w:rFonts w:asciiTheme="majorBidi" w:hAnsiTheme="majorBidi" w:cstheme="majorBidi"/>
          <w:sz w:val="24"/>
          <w:szCs w:val="24"/>
        </w:rPr>
        <w:t>emphasizes</w:t>
      </w:r>
      <w:r w:rsidRPr="00CE6165">
        <w:rPr>
          <w:rFonts w:asciiTheme="majorBidi" w:hAnsiTheme="majorBidi" w:cstheme="majorBidi"/>
          <w:sz w:val="24"/>
          <w:szCs w:val="24"/>
        </w:rPr>
        <w:t xml:space="preserve"> on four major components regarding GAD: Intolerance of uncertainty, positive beliefs about worry, negative problem orientation and cognitive avoidance. Intolerance of uncertainty is regarded as a common and </w:t>
      </w:r>
      <w:proofErr w:type="spellStart"/>
      <w:r w:rsidRPr="00CE6165">
        <w:rPr>
          <w:rFonts w:asciiTheme="majorBidi" w:hAnsiTheme="majorBidi" w:cstheme="majorBidi"/>
          <w:sz w:val="24"/>
          <w:szCs w:val="24"/>
        </w:rPr>
        <w:t>transdiagnostic</w:t>
      </w:r>
      <w:proofErr w:type="spellEnd"/>
      <w:r w:rsidRPr="00CE6165">
        <w:rPr>
          <w:rFonts w:asciiTheme="majorBidi" w:hAnsiTheme="majorBidi" w:cstheme="majorBidi"/>
          <w:sz w:val="24"/>
          <w:szCs w:val="24"/>
        </w:rPr>
        <w:t xml:space="preserve"> factor, which plays role in different types of emotional disorders </w:t>
      </w:r>
      <w:r w:rsidR="002924A0" w:rsidRPr="00CE6165">
        <w:rPr>
          <w:rFonts w:asciiTheme="majorBidi" w:hAnsiTheme="majorBidi" w:cstheme="majorBidi"/>
          <w:sz w:val="24"/>
          <w:szCs w:val="24"/>
        </w:rPr>
        <w:t>(</w:t>
      </w:r>
      <w:proofErr w:type="spellStart"/>
      <w:r w:rsidR="002924A0" w:rsidRPr="00CE6165">
        <w:rPr>
          <w:rFonts w:asciiTheme="majorBidi" w:hAnsiTheme="majorBidi" w:cstheme="majorBidi"/>
          <w:szCs w:val="22"/>
        </w:rPr>
        <w:t>Thibodeau</w:t>
      </w:r>
      <w:proofErr w:type="spellEnd"/>
      <w:r w:rsidR="002924A0" w:rsidRPr="00CE6165">
        <w:rPr>
          <w:rFonts w:asciiTheme="majorBidi" w:hAnsiTheme="majorBidi" w:cstheme="majorBidi"/>
          <w:szCs w:val="22"/>
        </w:rPr>
        <w:t xml:space="preserve"> et al, 2015</w:t>
      </w:r>
      <w:r w:rsidR="002924A0" w:rsidRPr="00CE6165">
        <w:rPr>
          <w:rFonts w:asciiTheme="majorBidi" w:hAnsiTheme="majorBidi" w:cstheme="majorBidi"/>
          <w:sz w:val="24"/>
          <w:szCs w:val="24"/>
        </w:rPr>
        <w:t>)</w:t>
      </w:r>
      <w:r w:rsidRPr="00CE6165">
        <w:rPr>
          <w:rFonts w:asciiTheme="majorBidi" w:hAnsiTheme="majorBidi" w:cstheme="majorBidi"/>
          <w:sz w:val="24"/>
          <w:szCs w:val="24"/>
        </w:rPr>
        <w:t xml:space="preserve">. </w:t>
      </w:r>
    </w:p>
    <w:p w:rsidR="00185091" w:rsidRPr="00CE6165" w:rsidRDefault="00185091" w:rsidP="00ED5B17">
      <w:pPr>
        <w:spacing w:before="100" w:beforeAutospacing="1" w:after="100" w:afterAutospacing="1" w:line="240" w:lineRule="auto"/>
        <w:jc w:val="both"/>
        <w:rPr>
          <w:rFonts w:asciiTheme="majorBidi" w:eastAsia="Calibri" w:hAnsiTheme="majorBidi" w:cstheme="majorBidi"/>
          <w:sz w:val="24"/>
          <w:szCs w:val="24"/>
        </w:rPr>
      </w:pPr>
      <w:r w:rsidRPr="00CE6165">
        <w:rPr>
          <w:rFonts w:asciiTheme="majorBidi" w:hAnsiTheme="majorBidi" w:cstheme="majorBidi"/>
          <w:sz w:val="24"/>
          <w:szCs w:val="24"/>
        </w:rPr>
        <w:t xml:space="preserve">Considering high prevalence of generalized anxiety disorder and the significant problems resulting from it and given different research results and evidence regarding existing therapeutic methods, it is necessary to investigate an efficient therapeutic model for </w:t>
      </w:r>
      <w:r w:rsidR="00ED5B17" w:rsidRPr="00CE6165">
        <w:rPr>
          <w:rFonts w:asciiTheme="majorBidi" w:hAnsiTheme="majorBidi" w:cstheme="majorBidi"/>
          <w:sz w:val="24"/>
          <w:szCs w:val="24"/>
        </w:rPr>
        <w:t>GAD</w:t>
      </w:r>
      <w:r w:rsidRPr="00CE6165">
        <w:rPr>
          <w:rFonts w:asciiTheme="majorBidi" w:hAnsiTheme="majorBidi" w:cstheme="majorBidi"/>
          <w:sz w:val="24"/>
          <w:szCs w:val="24"/>
        </w:rPr>
        <w:t xml:space="preserve"> Since there are rare studies on effectiveness of these therapeutic methods (cognitive-behavior therapy focused on intolerance of uncertainty and </w:t>
      </w:r>
      <w:r w:rsidR="00ED5B17" w:rsidRPr="00CE6165">
        <w:rPr>
          <w:rFonts w:asciiTheme="majorBidi" w:hAnsiTheme="majorBidi" w:cstheme="majorBidi"/>
          <w:sz w:val="24"/>
          <w:szCs w:val="24"/>
        </w:rPr>
        <w:t>Pharmacotherapy</w:t>
      </w:r>
      <w:r w:rsidRPr="00CE6165">
        <w:rPr>
          <w:rFonts w:asciiTheme="majorBidi" w:hAnsiTheme="majorBidi" w:cstheme="majorBidi"/>
          <w:sz w:val="24"/>
          <w:szCs w:val="24"/>
        </w:rPr>
        <w:t xml:space="preserve">) on the variables (worry, positive beliefs about worry, and negative problem orientation), thus current study investigated following research questions: 1. Are cognitive-behavior therapy focused on intolerance of uncertainty (CBT-IU) and </w:t>
      </w:r>
      <w:r w:rsidR="00ED5B17" w:rsidRPr="00CE6165">
        <w:rPr>
          <w:rFonts w:asciiTheme="majorBidi" w:hAnsiTheme="majorBidi" w:cstheme="majorBidi"/>
          <w:sz w:val="24"/>
          <w:szCs w:val="24"/>
        </w:rPr>
        <w:t xml:space="preserve">Pharmacotherapy </w:t>
      </w:r>
      <w:r w:rsidRPr="00CE6165">
        <w:rPr>
          <w:rFonts w:asciiTheme="majorBidi" w:hAnsiTheme="majorBidi" w:cstheme="majorBidi"/>
          <w:sz w:val="24"/>
          <w:szCs w:val="24"/>
        </w:rPr>
        <w:t xml:space="preserve">effective on worry, positive beliefs about worry and negative problem orientation components in patients with generalized anxiety disorder? Also, since effectiveness studies should specifically contain therapy - therapy or therapy - placebo comparisons, another problem is raised which is addressed in the current study: 2. is there any significant difference in terms of effectiveness between mentioned therapies on respective dependent variables? </w:t>
      </w:r>
    </w:p>
    <w:p w:rsidR="00185091" w:rsidRPr="00CE6165" w:rsidRDefault="00185091" w:rsidP="00185091">
      <w:pPr>
        <w:spacing w:before="100" w:beforeAutospacing="1" w:after="100" w:afterAutospacing="1" w:line="240" w:lineRule="auto"/>
        <w:jc w:val="both"/>
        <w:rPr>
          <w:rFonts w:asciiTheme="majorBidi" w:hAnsiTheme="majorBidi" w:cstheme="majorBidi"/>
          <w:b/>
          <w:sz w:val="28"/>
          <w:szCs w:val="28"/>
        </w:rPr>
      </w:pPr>
      <w:r w:rsidRPr="00CE6165">
        <w:rPr>
          <w:rFonts w:asciiTheme="majorBidi" w:hAnsiTheme="majorBidi" w:cstheme="majorBidi"/>
          <w:b/>
          <w:sz w:val="28"/>
          <w:szCs w:val="28"/>
        </w:rPr>
        <w:lastRenderedPageBreak/>
        <w:t>Methods</w:t>
      </w:r>
    </w:p>
    <w:p w:rsidR="004F1458" w:rsidRPr="00CE6165" w:rsidRDefault="004F1458" w:rsidP="00185091">
      <w:pPr>
        <w:spacing w:before="100" w:beforeAutospacing="1" w:after="100" w:afterAutospacing="1" w:line="240" w:lineRule="auto"/>
        <w:jc w:val="both"/>
        <w:rPr>
          <w:rFonts w:asciiTheme="majorBidi" w:hAnsiTheme="majorBidi" w:cstheme="majorBidi"/>
          <w:b/>
          <w:sz w:val="24"/>
          <w:szCs w:val="24"/>
        </w:rPr>
      </w:pPr>
      <w:r w:rsidRPr="00CE6165">
        <w:rPr>
          <w:rFonts w:asciiTheme="majorBidi" w:hAnsiTheme="majorBidi" w:cstheme="majorBidi"/>
          <w:b/>
          <w:sz w:val="24"/>
          <w:szCs w:val="24"/>
        </w:rPr>
        <w:t>Participants</w:t>
      </w:r>
    </w:p>
    <w:p w:rsidR="00185091" w:rsidRPr="00CE6165" w:rsidRDefault="00984288" w:rsidP="0040158C">
      <w:pPr>
        <w:spacing w:before="100" w:beforeAutospacing="1" w:after="100" w:afterAutospacing="1" w:line="240" w:lineRule="auto"/>
        <w:jc w:val="both"/>
        <w:rPr>
          <w:rFonts w:asciiTheme="majorBidi" w:hAnsiTheme="majorBidi" w:cstheme="majorBidi"/>
          <w:sz w:val="24"/>
          <w:szCs w:val="24"/>
        </w:rPr>
      </w:pPr>
      <w:r w:rsidRPr="00CE6165">
        <w:rPr>
          <w:rFonts w:asciiTheme="majorBidi" w:hAnsiTheme="majorBidi" w:cstheme="majorBidi"/>
          <w:sz w:val="24"/>
          <w:szCs w:val="24"/>
        </w:rPr>
        <w:t xml:space="preserve">The study included a pretest-posttest session with two experimental groups. Study </w:t>
      </w:r>
      <w:r w:rsidR="00185091" w:rsidRPr="00CE6165">
        <w:rPr>
          <w:rFonts w:asciiTheme="majorBidi" w:hAnsiTheme="majorBidi" w:cstheme="majorBidi"/>
          <w:sz w:val="24"/>
          <w:szCs w:val="24"/>
        </w:rPr>
        <w:t xml:space="preserve">was registered in Iran’s Clinical Trial Center coded as IRCT2016020626397N1 and </w:t>
      </w:r>
      <w:r w:rsidRPr="00CE6165">
        <w:rPr>
          <w:rFonts w:asciiTheme="majorBidi" w:hAnsiTheme="majorBidi" w:cstheme="majorBidi"/>
          <w:sz w:val="24"/>
          <w:szCs w:val="24"/>
        </w:rPr>
        <w:t xml:space="preserve">all study procedure </w:t>
      </w:r>
      <w:r w:rsidR="006328B1" w:rsidRPr="00CE6165">
        <w:rPr>
          <w:rFonts w:asciiTheme="majorBidi" w:hAnsiTheme="majorBidi" w:cstheme="majorBidi"/>
          <w:sz w:val="24"/>
          <w:szCs w:val="24"/>
        </w:rPr>
        <w:t>approved by</w:t>
      </w:r>
      <w:r w:rsidR="00185091" w:rsidRPr="00CE6165">
        <w:rPr>
          <w:rFonts w:asciiTheme="majorBidi" w:hAnsiTheme="majorBidi" w:cstheme="majorBidi"/>
          <w:sz w:val="24"/>
          <w:szCs w:val="24"/>
        </w:rPr>
        <w:t xml:space="preserve"> </w:t>
      </w:r>
      <w:r w:rsidR="0040158C" w:rsidRPr="00CE6165">
        <w:rPr>
          <w:rFonts w:asciiTheme="majorBidi" w:hAnsiTheme="majorBidi" w:cstheme="majorBidi"/>
          <w:sz w:val="24"/>
          <w:szCs w:val="24"/>
        </w:rPr>
        <w:t xml:space="preserve">the </w:t>
      </w:r>
      <w:r w:rsidR="00185091" w:rsidRPr="00CE6165">
        <w:rPr>
          <w:rFonts w:asciiTheme="majorBidi" w:hAnsiTheme="majorBidi" w:cstheme="majorBidi"/>
          <w:sz w:val="24"/>
          <w:szCs w:val="24"/>
        </w:rPr>
        <w:t>Kurdistan University of Medical Scie</w:t>
      </w:r>
      <w:r w:rsidRPr="00CE6165">
        <w:rPr>
          <w:rFonts w:asciiTheme="majorBidi" w:hAnsiTheme="majorBidi" w:cstheme="majorBidi"/>
          <w:sz w:val="24"/>
          <w:szCs w:val="24"/>
        </w:rPr>
        <w:t>nces</w:t>
      </w:r>
      <w:r w:rsidR="0040158C" w:rsidRPr="00CE6165">
        <w:rPr>
          <w:rFonts w:asciiTheme="majorBidi" w:hAnsiTheme="majorBidi" w:cstheme="majorBidi"/>
          <w:sz w:val="24"/>
          <w:szCs w:val="24"/>
        </w:rPr>
        <w:t>'</w:t>
      </w:r>
      <w:r w:rsidRPr="00CE6165">
        <w:rPr>
          <w:rFonts w:asciiTheme="majorBidi" w:hAnsiTheme="majorBidi" w:cstheme="majorBidi"/>
          <w:sz w:val="24"/>
          <w:szCs w:val="24"/>
        </w:rPr>
        <w:t xml:space="preserve"> </w:t>
      </w:r>
      <w:r w:rsidR="0040158C" w:rsidRPr="00CE6165">
        <w:rPr>
          <w:rFonts w:asciiTheme="majorBidi" w:hAnsiTheme="majorBidi" w:cstheme="majorBidi"/>
          <w:sz w:val="24"/>
          <w:szCs w:val="24"/>
        </w:rPr>
        <w:t xml:space="preserve">ethics committee coded as MUK.REC.1394.309. </w:t>
      </w:r>
      <w:r w:rsidR="00185091" w:rsidRPr="00CE6165">
        <w:rPr>
          <w:rFonts w:asciiTheme="majorBidi" w:hAnsiTheme="majorBidi" w:cstheme="majorBidi"/>
          <w:sz w:val="24"/>
          <w:szCs w:val="24"/>
        </w:rPr>
        <w:t xml:space="preserve">Current </w:t>
      </w:r>
      <w:r w:rsidR="0040158C" w:rsidRPr="00CE6165">
        <w:rPr>
          <w:rFonts w:asciiTheme="majorBidi" w:hAnsiTheme="majorBidi" w:cstheme="majorBidi"/>
          <w:sz w:val="24"/>
          <w:szCs w:val="24"/>
        </w:rPr>
        <w:t>study</w:t>
      </w:r>
      <w:r w:rsidR="00185091" w:rsidRPr="00CE6165">
        <w:rPr>
          <w:rFonts w:asciiTheme="majorBidi" w:hAnsiTheme="majorBidi" w:cstheme="majorBidi"/>
          <w:sz w:val="24"/>
          <w:szCs w:val="24"/>
        </w:rPr>
        <w:t xml:space="preserve"> was conducted aiming at comparing effectiveness of cognitive-behavior therapy focused on intolerance of uncertainty and </w:t>
      </w:r>
      <w:r w:rsidR="00EB3D5C" w:rsidRPr="00CE6165">
        <w:rPr>
          <w:rFonts w:asciiTheme="majorBidi" w:hAnsiTheme="majorBidi" w:cstheme="majorBidi"/>
          <w:sz w:val="24"/>
          <w:szCs w:val="24"/>
        </w:rPr>
        <w:t xml:space="preserve">Pharmacotherapy </w:t>
      </w:r>
      <w:r w:rsidR="00185091" w:rsidRPr="00CE6165">
        <w:rPr>
          <w:rFonts w:asciiTheme="majorBidi" w:hAnsiTheme="majorBidi" w:cstheme="majorBidi"/>
          <w:sz w:val="24"/>
          <w:szCs w:val="24"/>
        </w:rPr>
        <w:t xml:space="preserve">in patients with GAD. Since generalized anxiety disorder is prevalent among women and mostly women refer for treatment </w:t>
      </w:r>
      <w:r w:rsidR="00020151" w:rsidRPr="00CE6165">
        <w:rPr>
          <w:rFonts w:asciiTheme="majorBidi" w:hAnsiTheme="majorBidi" w:cstheme="majorBidi"/>
          <w:sz w:val="24"/>
          <w:szCs w:val="24"/>
        </w:rPr>
        <w:t>(</w:t>
      </w:r>
      <w:r w:rsidR="00020151" w:rsidRPr="00CE6165">
        <w:rPr>
          <w:rFonts w:asciiTheme="majorBidi" w:eastAsia="Times New Roman" w:hAnsiTheme="majorBidi" w:cstheme="majorBidi"/>
          <w:szCs w:val="22"/>
        </w:rPr>
        <w:t>American Psychiatric Association, 2013</w:t>
      </w:r>
      <w:r w:rsidR="00020151" w:rsidRPr="00CE6165">
        <w:rPr>
          <w:rFonts w:asciiTheme="majorBidi" w:hAnsiTheme="majorBidi" w:cstheme="majorBidi"/>
          <w:sz w:val="24"/>
          <w:szCs w:val="24"/>
        </w:rPr>
        <w:t>)</w:t>
      </w:r>
      <w:r w:rsidR="00185091" w:rsidRPr="00CE6165">
        <w:rPr>
          <w:rFonts w:asciiTheme="majorBidi" w:hAnsiTheme="majorBidi" w:cstheme="majorBidi"/>
          <w:sz w:val="24"/>
          <w:szCs w:val="24"/>
        </w:rPr>
        <w:t xml:space="preserve">, research population included all female students of Kurdistan University and patients referring to private medical centers of Sanandaj city. Non-drug intervention sample group included 12 students of Kurdistan University, which were selected using convenient sampling through recalling, and drug intervention sample group included 12 subjects referring to psychiatric clinics in Sanandaj and were selected through non-probability purpose convenient sampling. Research inclusion criteria were as follows: age range of 18 - 35 years, diagnosis of generalized anxiety disorder according to DSM-5 criteria, and no reception of any treatment including psychological and </w:t>
      </w:r>
      <w:r w:rsidR="00EB3D5C" w:rsidRPr="00CE6165">
        <w:rPr>
          <w:rFonts w:asciiTheme="majorBidi" w:hAnsiTheme="majorBidi" w:cstheme="majorBidi"/>
          <w:sz w:val="24"/>
          <w:szCs w:val="24"/>
        </w:rPr>
        <w:t>Pharmacotherapy</w:t>
      </w:r>
      <w:r w:rsidR="00185091" w:rsidRPr="00CE6165">
        <w:rPr>
          <w:rFonts w:asciiTheme="majorBidi" w:hAnsiTheme="majorBidi" w:cstheme="majorBidi"/>
          <w:sz w:val="24"/>
          <w:szCs w:val="24"/>
        </w:rPr>
        <w:t xml:space="preserve">. Research subjects were involved in the research using a clinical interview based on DSM-5 and acquiring score above average in Beck Anxiety Inventory (BAI), and score between (60 – 80) in Penn state Worry Questionnaire (PSWQ). Exclusion criteria included comorbidity with other mental disorders, psychotic symptoms (hallucinations, delusions), presence of any physical diseases, and use of psychiatric drugs (for CBT-IU group). The research was carried out based on medical ethics, informed written consent, confidentiality of data, and lack of conflict of interests in clinical research and observation of other main ethical issues of research works. Descriptive statistics (mean and standard deviation) and repeated measures analysis of variance were used for data analysis. </w:t>
      </w:r>
    </w:p>
    <w:p w:rsidR="00265B5F" w:rsidRPr="00CE6165" w:rsidRDefault="00265B5F" w:rsidP="00265B5F">
      <w:pPr>
        <w:spacing w:before="100" w:beforeAutospacing="1" w:after="100" w:afterAutospacing="1" w:line="240" w:lineRule="auto"/>
        <w:jc w:val="both"/>
        <w:rPr>
          <w:rFonts w:asciiTheme="majorBidi" w:eastAsia="Calibri" w:hAnsiTheme="majorBidi" w:cstheme="majorBidi"/>
          <w:b/>
          <w:sz w:val="28"/>
          <w:szCs w:val="28"/>
        </w:rPr>
      </w:pPr>
      <w:r w:rsidRPr="00CE6165">
        <w:rPr>
          <w:rFonts w:asciiTheme="majorBidi" w:hAnsiTheme="majorBidi" w:cstheme="majorBidi"/>
          <w:b/>
          <w:sz w:val="28"/>
          <w:szCs w:val="28"/>
        </w:rPr>
        <w:t>Procedure</w:t>
      </w:r>
    </w:p>
    <w:p w:rsidR="00265B5F" w:rsidRPr="00CE6165" w:rsidRDefault="00265B5F" w:rsidP="00265B5F">
      <w:pPr>
        <w:spacing w:before="100" w:beforeAutospacing="1" w:after="100" w:afterAutospacing="1" w:line="240" w:lineRule="auto"/>
        <w:jc w:val="both"/>
        <w:rPr>
          <w:rFonts w:asciiTheme="majorBidi" w:hAnsiTheme="majorBidi" w:cstheme="majorBidi"/>
          <w:sz w:val="24"/>
          <w:szCs w:val="24"/>
        </w:rPr>
      </w:pPr>
      <w:r w:rsidRPr="00CE6165">
        <w:rPr>
          <w:rFonts w:asciiTheme="majorBidi" w:hAnsiTheme="majorBidi" w:cstheme="majorBidi"/>
          <w:sz w:val="24"/>
          <w:szCs w:val="24"/>
        </w:rPr>
        <w:t xml:space="preserve">Experiment planning in the current research was cognitive-behavior therapy focused on intolerance of uncertainty and Pharmacotherapy. Research implementation process was as following: students were recalled for participation in the research in the faculties, consulting centers, and student dormitories in order to select non-drug therapy subjects. Diagnostic interview was done with those referred to the treatment place, and they were also asked to complete Beck Anxiety Inventory (BAI) and Penn state Worry Questionnaire (PSWQ). Those with higher than average score in Beck Anxiety Inventory and scores between 60 - 80 in Penn state Worry Questionnaire, who were qualified for generalized anxiety disorder diagnostic criteria based on the diagnostic interview, took part in the research, and were included in cognitive-behavior therapy focused on intolerance of uncertainty. At the first session and before initiation of therapy, pretest questionnaires (Penn state Worry Questionnaire, Why Worry Questionnaire, and Negative Problem Orientation Questionnaire) were given to the subjects. Following end of treatment intervention, the questionnaires were again run for post-test. </w:t>
      </w:r>
    </w:p>
    <w:p w:rsidR="004F2DE9" w:rsidRPr="00CE6165" w:rsidRDefault="004F2DE9" w:rsidP="00265B5F">
      <w:pPr>
        <w:spacing w:before="100" w:beforeAutospacing="1" w:after="100" w:afterAutospacing="1" w:line="240" w:lineRule="auto"/>
        <w:jc w:val="both"/>
        <w:rPr>
          <w:rFonts w:asciiTheme="majorBidi" w:hAnsiTheme="majorBidi" w:cstheme="majorBidi"/>
          <w:b/>
          <w:bCs/>
          <w:sz w:val="28"/>
          <w:szCs w:val="28"/>
        </w:rPr>
      </w:pPr>
    </w:p>
    <w:p w:rsidR="00265B5F" w:rsidRPr="00CE6165" w:rsidRDefault="00265B5F" w:rsidP="00265B5F">
      <w:pPr>
        <w:spacing w:before="100" w:beforeAutospacing="1" w:after="100" w:afterAutospacing="1" w:line="240" w:lineRule="auto"/>
        <w:jc w:val="both"/>
        <w:rPr>
          <w:rFonts w:asciiTheme="majorBidi" w:hAnsiTheme="majorBidi" w:cstheme="majorBidi"/>
          <w:b/>
          <w:bCs/>
          <w:sz w:val="28"/>
          <w:szCs w:val="28"/>
        </w:rPr>
      </w:pPr>
      <w:r w:rsidRPr="00CE6165">
        <w:rPr>
          <w:rFonts w:asciiTheme="majorBidi" w:hAnsiTheme="majorBidi" w:cstheme="majorBidi"/>
          <w:b/>
          <w:bCs/>
          <w:sz w:val="28"/>
          <w:szCs w:val="28"/>
        </w:rPr>
        <w:t>Treatments</w:t>
      </w:r>
    </w:p>
    <w:p w:rsidR="00265B5F" w:rsidRPr="00CE6165" w:rsidRDefault="00265B5F" w:rsidP="00265B5F">
      <w:pPr>
        <w:spacing w:before="100" w:beforeAutospacing="1" w:after="100" w:afterAutospacing="1" w:line="240" w:lineRule="auto"/>
        <w:jc w:val="both"/>
        <w:rPr>
          <w:rFonts w:asciiTheme="majorBidi" w:hAnsiTheme="majorBidi" w:cstheme="majorBidi"/>
          <w:b/>
          <w:bCs/>
          <w:sz w:val="28"/>
          <w:szCs w:val="28"/>
        </w:rPr>
      </w:pPr>
      <w:r w:rsidRPr="00CE6165">
        <w:rPr>
          <w:rFonts w:asciiTheme="majorBidi" w:hAnsiTheme="majorBidi" w:cstheme="majorBidi"/>
          <w:b/>
          <w:bCs/>
          <w:sz w:val="28"/>
          <w:szCs w:val="28"/>
        </w:rPr>
        <w:lastRenderedPageBreak/>
        <w:t xml:space="preserve"> </w:t>
      </w:r>
      <w:r w:rsidRPr="00CE6165">
        <w:rPr>
          <w:rFonts w:asciiTheme="majorBidi" w:hAnsiTheme="majorBidi" w:cstheme="majorBidi"/>
          <w:b/>
          <w:bCs/>
          <w:sz w:val="24"/>
          <w:szCs w:val="24"/>
        </w:rPr>
        <w:t>Pharmacotherapy</w:t>
      </w:r>
    </w:p>
    <w:p w:rsidR="00265B5F" w:rsidRPr="00CE6165" w:rsidRDefault="00265B5F" w:rsidP="00265B5F">
      <w:pPr>
        <w:spacing w:before="100" w:beforeAutospacing="1" w:after="100" w:afterAutospacing="1" w:line="240" w:lineRule="auto"/>
        <w:jc w:val="both"/>
        <w:rPr>
          <w:rFonts w:asciiTheme="majorBidi" w:hAnsiTheme="majorBidi" w:cstheme="majorBidi"/>
          <w:sz w:val="24"/>
          <w:szCs w:val="24"/>
        </w:rPr>
      </w:pPr>
      <w:r w:rsidRPr="00CE6165">
        <w:rPr>
          <w:rFonts w:asciiTheme="majorBidi" w:hAnsiTheme="majorBidi" w:cstheme="majorBidi"/>
          <w:sz w:val="24"/>
          <w:szCs w:val="24"/>
        </w:rPr>
        <w:t xml:space="preserve">In order to select Pharmacotherapy group subjects, first individuals with diagnosed GAD were assigned in Pharmacotherapy group for generalized anxiety disorder. The subjects were all outpatient and none of them were admitted to psychiatric wards of the hospitals. Pharmacotherapy was done by neurologist and patients used anti-anxiety drugs under the supervision of a psychiatrist. No specific drug was studied for investigation of therapeutic effectiveness, and selection of drug was done by the psychiatrist. The qualified individuals were asked to complete the pretest questionnaires in the doctor office. In the next step, after taking selective serotonin reuptake inhibitors (SSRIs) containing sertraline 100 mg or 40 mg citalopram for one month, they were asked to go back to the office and complete post-test questionnaires. </w:t>
      </w:r>
    </w:p>
    <w:p w:rsidR="00265B5F" w:rsidRPr="00CE6165" w:rsidRDefault="00265B5F" w:rsidP="00265B5F">
      <w:pPr>
        <w:spacing w:before="100" w:beforeAutospacing="1" w:after="100" w:afterAutospacing="1" w:line="240" w:lineRule="auto"/>
        <w:jc w:val="both"/>
        <w:rPr>
          <w:rFonts w:asciiTheme="majorBidi" w:hAnsiTheme="majorBidi" w:cstheme="majorBidi"/>
          <w:b/>
          <w:bCs/>
          <w:sz w:val="24"/>
          <w:szCs w:val="24"/>
        </w:rPr>
      </w:pPr>
      <w:r w:rsidRPr="00CE6165">
        <w:rPr>
          <w:rFonts w:asciiTheme="majorBidi" w:hAnsiTheme="majorBidi" w:cstheme="majorBidi"/>
          <w:b/>
          <w:bCs/>
          <w:sz w:val="24"/>
          <w:szCs w:val="24"/>
        </w:rPr>
        <w:t>CBT-IU</w:t>
      </w:r>
    </w:p>
    <w:p w:rsidR="00265B5F" w:rsidRPr="00CE6165" w:rsidRDefault="00265B5F" w:rsidP="00265B5F">
      <w:pPr>
        <w:spacing w:before="100" w:beforeAutospacing="1" w:after="100" w:afterAutospacing="1" w:line="240" w:lineRule="auto"/>
        <w:jc w:val="both"/>
        <w:rPr>
          <w:rFonts w:asciiTheme="majorBidi" w:eastAsia="Calibri" w:hAnsiTheme="majorBidi" w:cstheme="majorBidi"/>
          <w:sz w:val="24"/>
          <w:szCs w:val="24"/>
        </w:rPr>
      </w:pPr>
      <w:r w:rsidRPr="00CE6165">
        <w:rPr>
          <w:rFonts w:asciiTheme="majorBidi" w:hAnsiTheme="majorBidi" w:cstheme="majorBidi"/>
          <w:sz w:val="24"/>
          <w:szCs w:val="24"/>
        </w:rPr>
        <w:t>Cognitive-behavioral therapy focused on intolerance of uncertainty adopted from Cognitive-Behavioral Treatment for Generalized Anxiety Disorder by Dugas and Robichaud (2007) and the protocol designed by Robichaud (2013) was implemented within 12 sessions in 60 minutes as individual with weekly. Thus, the entire intervention took three months. Sequence as following:</w:t>
      </w:r>
    </w:p>
    <w:p w:rsidR="00265B5F" w:rsidRPr="00CE6165" w:rsidRDefault="00265B5F" w:rsidP="008C44E0">
      <w:pPr>
        <w:spacing w:before="100" w:beforeAutospacing="1" w:after="100" w:afterAutospacing="1" w:line="276" w:lineRule="auto"/>
        <w:jc w:val="both"/>
        <w:rPr>
          <w:rFonts w:asciiTheme="majorBidi" w:eastAsia="Calibri" w:hAnsiTheme="majorBidi" w:cstheme="majorBidi"/>
          <w:b/>
          <w:szCs w:val="22"/>
        </w:rPr>
      </w:pPr>
      <w:r w:rsidRPr="00CE6165">
        <w:rPr>
          <w:rFonts w:asciiTheme="majorBidi" w:hAnsiTheme="majorBidi" w:cstheme="majorBidi"/>
          <w:b/>
          <w:szCs w:val="22"/>
        </w:rPr>
        <w:t xml:space="preserve">Table 1: </w:t>
      </w:r>
      <w:r w:rsidR="008C44E0" w:rsidRPr="00CE6165">
        <w:rPr>
          <w:rFonts w:ascii="Times New Roman" w:eastAsia="Calibri" w:hAnsi="Times New Roman" w:cs="Times New Roman"/>
          <w:bCs/>
          <w:szCs w:val="22"/>
        </w:rPr>
        <w:t>Protocol of Cognitive-Behavioral Therapy Focused on Intolerance of Uncertainty (CBT-IU)</w:t>
      </w:r>
    </w:p>
    <w:tbl>
      <w:tblPr>
        <w:tblStyle w:val="TableGrid"/>
        <w:tblW w:w="0" w:type="auto"/>
        <w:tblLook w:val="04A0" w:firstRow="1" w:lastRow="0" w:firstColumn="1" w:lastColumn="0" w:noHBand="0" w:noVBand="1"/>
      </w:tblPr>
      <w:tblGrid>
        <w:gridCol w:w="1696"/>
        <w:gridCol w:w="7320"/>
      </w:tblGrid>
      <w:tr w:rsidR="00265B5F" w:rsidRPr="00CE6165" w:rsidTr="00B175BA">
        <w:trPr>
          <w:trHeight w:val="680"/>
        </w:trPr>
        <w:tc>
          <w:tcPr>
            <w:tcW w:w="1696" w:type="dxa"/>
            <w:vAlign w:val="center"/>
          </w:tcPr>
          <w:p w:rsidR="00265B5F" w:rsidRPr="00CE6165" w:rsidRDefault="0013039D" w:rsidP="00A15CF5">
            <w:pPr>
              <w:spacing w:before="100" w:beforeAutospacing="1" w:after="100" w:afterAutospacing="1" w:line="276" w:lineRule="auto"/>
              <w:jc w:val="center"/>
              <w:rPr>
                <w:rFonts w:asciiTheme="majorBidi" w:eastAsia="Calibri" w:hAnsiTheme="majorBidi" w:cstheme="majorBidi"/>
                <w:b/>
                <w:sz w:val="24"/>
                <w:szCs w:val="24"/>
              </w:rPr>
            </w:pPr>
            <w:r w:rsidRPr="00CE6165">
              <w:rPr>
                <w:rFonts w:asciiTheme="majorBidi" w:hAnsiTheme="majorBidi" w:cstheme="majorBidi"/>
                <w:b/>
                <w:sz w:val="24"/>
                <w:szCs w:val="24"/>
              </w:rPr>
              <w:t>S</w:t>
            </w:r>
            <w:r w:rsidR="00265B5F" w:rsidRPr="00CE6165">
              <w:rPr>
                <w:rFonts w:asciiTheme="majorBidi" w:hAnsiTheme="majorBidi" w:cstheme="majorBidi"/>
                <w:b/>
                <w:sz w:val="24"/>
                <w:szCs w:val="24"/>
              </w:rPr>
              <w:t>essions</w:t>
            </w:r>
          </w:p>
        </w:tc>
        <w:tc>
          <w:tcPr>
            <w:tcW w:w="7320" w:type="dxa"/>
            <w:vAlign w:val="center"/>
          </w:tcPr>
          <w:p w:rsidR="00265B5F" w:rsidRPr="00CE6165" w:rsidRDefault="00265B5F" w:rsidP="00A15CF5">
            <w:pPr>
              <w:spacing w:before="100" w:beforeAutospacing="1" w:after="100" w:afterAutospacing="1"/>
              <w:jc w:val="center"/>
              <w:rPr>
                <w:rFonts w:asciiTheme="majorBidi" w:eastAsia="Calibri" w:hAnsiTheme="majorBidi" w:cstheme="majorBidi"/>
                <w:b/>
                <w:sz w:val="24"/>
                <w:szCs w:val="24"/>
              </w:rPr>
            </w:pPr>
            <w:r w:rsidRPr="00CE6165">
              <w:rPr>
                <w:rFonts w:asciiTheme="majorBidi" w:hAnsiTheme="majorBidi" w:cstheme="majorBidi"/>
                <w:b/>
                <w:sz w:val="24"/>
                <w:szCs w:val="24"/>
              </w:rPr>
              <w:t>Content of sessions</w:t>
            </w:r>
          </w:p>
        </w:tc>
      </w:tr>
      <w:tr w:rsidR="00265B5F" w:rsidRPr="00CE6165" w:rsidTr="00B175BA">
        <w:trPr>
          <w:trHeight w:val="680"/>
        </w:trPr>
        <w:tc>
          <w:tcPr>
            <w:tcW w:w="1696" w:type="dxa"/>
            <w:vAlign w:val="center"/>
          </w:tcPr>
          <w:p w:rsidR="00265B5F" w:rsidRPr="00CE6165" w:rsidRDefault="00265B5F" w:rsidP="00A15CF5">
            <w:pPr>
              <w:spacing w:before="100" w:beforeAutospacing="1" w:after="100" w:afterAutospacing="1" w:line="276" w:lineRule="auto"/>
              <w:jc w:val="center"/>
              <w:rPr>
                <w:rFonts w:asciiTheme="majorBidi" w:eastAsia="Calibri" w:hAnsiTheme="majorBidi" w:cstheme="majorBidi"/>
                <w:b/>
                <w:sz w:val="24"/>
                <w:szCs w:val="24"/>
              </w:rPr>
            </w:pPr>
            <w:r w:rsidRPr="00CE6165">
              <w:rPr>
                <w:rFonts w:asciiTheme="majorBidi" w:hAnsiTheme="majorBidi" w:cstheme="majorBidi"/>
                <w:b/>
                <w:sz w:val="24"/>
                <w:szCs w:val="24"/>
              </w:rPr>
              <w:t>Session 1 -2</w:t>
            </w:r>
          </w:p>
        </w:tc>
        <w:tc>
          <w:tcPr>
            <w:tcW w:w="7320" w:type="dxa"/>
            <w:vAlign w:val="center"/>
          </w:tcPr>
          <w:p w:rsidR="00265B5F" w:rsidRPr="00CE6165" w:rsidRDefault="00265B5F" w:rsidP="00A15CF5">
            <w:pPr>
              <w:spacing w:before="100" w:beforeAutospacing="1" w:after="100" w:afterAutospacing="1"/>
              <w:jc w:val="both"/>
              <w:rPr>
                <w:rFonts w:asciiTheme="majorBidi" w:eastAsia="Calibri" w:hAnsiTheme="majorBidi" w:cstheme="majorBidi"/>
                <w:szCs w:val="22"/>
              </w:rPr>
            </w:pPr>
            <w:r w:rsidRPr="00CE6165">
              <w:rPr>
                <w:rFonts w:asciiTheme="majorBidi" w:hAnsiTheme="majorBidi" w:cstheme="majorBidi"/>
                <w:szCs w:val="22"/>
              </w:rPr>
              <w:t xml:space="preserve">Familiarization of client and therapist, making primary medical relationship, evaluation of severity of client’s problems, investigation current status of his problems for better understanding Expressing expectations of clients about therapy and describing rules of sessions  A brief explanation of initial model of cognitive-behavioral therapy focused on intolerance of uncertainty (CBT-IU) and main frameworks of cognitive-behavioral therapy focused on intolerance of uncertainty Homework: Completing forms of worry supervision, understanding and identification of types of worry: Problems in real life and hypothetical situations </w:t>
            </w:r>
          </w:p>
        </w:tc>
      </w:tr>
      <w:tr w:rsidR="00265B5F" w:rsidRPr="00CE6165" w:rsidTr="00B175BA">
        <w:trPr>
          <w:trHeight w:val="680"/>
        </w:trPr>
        <w:tc>
          <w:tcPr>
            <w:tcW w:w="1696" w:type="dxa"/>
            <w:vAlign w:val="center"/>
          </w:tcPr>
          <w:p w:rsidR="00265B5F" w:rsidRPr="00CE6165" w:rsidRDefault="00265B5F" w:rsidP="00A15CF5">
            <w:pPr>
              <w:spacing w:before="100" w:beforeAutospacing="1" w:after="100" w:afterAutospacing="1" w:line="276" w:lineRule="auto"/>
              <w:jc w:val="center"/>
              <w:rPr>
                <w:rFonts w:asciiTheme="majorBidi" w:eastAsia="Calibri" w:hAnsiTheme="majorBidi" w:cstheme="majorBidi"/>
                <w:b/>
                <w:sz w:val="24"/>
                <w:szCs w:val="24"/>
              </w:rPr>
            </w:pPr>
            <w:r w:rsidRPr="00CE6165">
              <w:rPr>
                <w:rFonts w:asciiTheme="majorBidi" w:hAnsiTheme="majorBidi" w:cstheme="majorBidi"/>
                <w:b/>
                <w:sz w:val="24"/>
                <w:szCs w:val="24"/>
              </w:rPr>
              <w:t>Session 3 -5</w:t>
            </w:r>
          </w:p>
        </w:tc>
        <w:tc>
          <w:tcPr>
            <w:tcW w:w="7320" w:type="dxa"/>
            <w:vAlign w:val="center"/>
          </w:tcPr>
          <w:p w:rsidR="00265B5F" w:rsidRPr="00CE6165" w:rsidRDefault="00265B5F" w:rsidP="00A15CF5">
            <w:pPr>
              <w:spacing w:before="100" w:beforeAutospacing="1" w:after="100" w:afterAutospacing="1"/>
              <w:jc w:val="both"/>
              <w:rPr>
                <w:rFonts w:asciiTheme="majorBidi" w:eastAsia="Calibri" w:hAnsiTheme="majorBidi" w:cstheme="majorBidi"/>
                <w:szCs w:val="22"/>
              </w:rPr>
            </w:pPr>
            <w:r w:rsidRPr="00CE6165">
              <w:rPr>
                <w:rFonts w:asciiTheme="majorBidi" w:hAnsiTheme="majorBidi" w:cstheme="majorBidi"/>
                <w:szCs w:val="22"/>
              </w:rPr>
              <w:t>Reviewing the tasks and previous session, introducing role of intolerance of uncertainty, manifestations of uncertainty (search for safe behavior), challenging beliefs about uncertainty and coping. Homework: Self-monitoring for intolerance of uncertainty and safety behaviors; Test of fear and coping after completion of behavioral tests.</w:t>
            </w:r>
          </w:p>
        </w:tc>
      </w:tr>
      <w:tr w:rsidR="00265B5F" w:rsidRPr="00CE6165" w:rsidTr="00B175BA">
        <w:trPr>
          <w:trHeight w:val="680"/>
        </w:trPr>
        <w:tc>
          <w:tcPr>
            <w:tcW w:w="1696" w:type="dxa"/>
            <w:vAlign w:val="center"/>
          </w:tcPr>
          <w:p w:rsidR="00265B5F" w:rsidRPr="00CE6165" w:rsidRDefault="00265B5F" w:rsidP="00A15CF5">
            <w:pPr>
              <w:spacing w:before="100" w:beforeAutospacing="1" w:after="100" w:afterAutospacing="1" w:line="276" w:lineRule="auto"/>
              <w:jc w:val="center"/>
              <w:rPr>
                <w:rFonts w:asciiTheme="majorBidi" w:eastAsia="Calibri" w:hAnsiTheme="majorBidi" w:cstheme="majorBidi"/>
                <w:b/>
                <w:sz w:val="24"/>
                <w:szCs w:val="24"/>
              </w:rPr>
            </w:pPr>
            <w:r w:rsidRPr="00CE6165">
              <w:rPr>
                <w:rFonts w:asciiTheme="majorBidi" w:hAnsiTheme="majorBidi" w:cstheme="majorBidi"/>
                <w:b/>
                <w:sz w:val="24"/>
                <w:szCs w:val="24"/>
              </w:rPr>
              <w:t>Session 6 -7</w:t>
            </w:r>
          </w:p>
        </w:tc>
        <w:tc>
          <w:tcPr>
            <w:tcW w:w="7320" w:type="dxa"/>
            <w:vAlign w:val="center"/>
          </w:tcPr>
          <w:p w:rsidR="00265B5F" w:rsidRPr="00CE6165" w:rsidRDefault="00265B5F" w:rsidP="00A15CF5">
            <w:pPr>
              <w:spacing w:before="100" w:beforeAutospacing="1" w:after="100" w:afterAutospacing="1"/>
              <w:jc w:val="both"/>
              <w:rPr>
                <w:rFonts w:asciiTheme="majorBidi" w:eastAsia="Calibri" w:hAnsiTheme="majorBidi" w:cstheme="majorBidi"/>
                <w:szCs w:val="22"/>
              </w:rPr>
            </w:pPr>
            <w:r w:rsidRPr="00CE6165">
              <w:rPr>
                <w:rFonts w:asciiTheme="majorBidi" w:hAnsiTheme="majorBidi" w:cstheme="majorBidi"/>
                <w:szCs w:val="22"/>
              </w:rPr>
              <w:t>Reviewing the tasks and previous session, introducing role of positive beliefs about worry, challenging positive beliefs about worry function. Homework: Identifying examples of the individual’s worry beliefs, cognitive practice for challenging worry beliefs.</w:t>
            </w:r>
          </w:p>
        </w:tc>
      </w:tr>
      <w:tr w:rsidR="00265B5F" w:rsidRPr="00CE6165" w:rsidTr="00B175BA">
        <w:trPr>
          <w:trHeight w:val="680"/>
        </w:trPr>
        <w:tc>
          <w:tcPr>
            <w:tcW w:w="1696" w:type="dxa"/>
            <w:vAlign w:val="center"/>
          </w:tcPr>
          <w:p w:rsidR="00265B5F" w:rsidRPr="00CE6165" w:rsidRDefault="00265B5F" w:rsidP="00A15CF5">
            <w:pPr>
              <w:spacing w:before="100" w:beforeAutospacing="1" w:after="100" w:afterAutospacing="1" w:line="276" w:lineRule="auto"/>
              <w:jc w:val="center"/>
              <w:rPr>
                <w:rFonts w:asciiTheme="majorBidi" w:eastAsia="Calibri" w:hAnsiTheme="majorBidi" w:cstheme="majorBidi"/>
                <w:b/>
                <w:sz w:val="24"/>
                <w:szCs w:val="24"/>
              </w:rPr>
            </w:pPr>
            <w:r w:rsidRPr="00CE6165">
              <w:rPr>
                <w:rFonts w:asciiTheme="majorBidi" w:hAnsiTheme="majorBidi" w:cstheme="majorBidi"/>
                <w:b/>
                <w:sz w:val="24"/>
                <w:szCs w:val="24"/>
              </w:rPr>
              <w:t>Session 8 -9</w:t>
            </w:r>
          </w:p>
        </w:tc>
        <w:tc>
          <w:tcPr>
            <w:tcW w:w="7320" w:type="dxa"/>
            <w:vAlign w:val="center"/>
          </w:tcPr>
          <w:p w:rsidR="00265B5F" w:rsidRPr="00CE6165" w:rsidRDefault="00265B5F" w:rsidP="00A15CF5">
            <w:pPr>
              <w:spacing w:before="100" w:beforeAutospacing="1" w:after="100" w:afterAutospacing="1"/>
              <w:jc w:val="both"/>
              <w:rPr>
                <w:rFonts w:asciiTheme="majorBidi" w:eastAsia="Calibri" w:hAnsiTheme="majorBidi" w:cstheme="majorBidi"/>
                <w:szCs w:val="22"/>
              </w:rPr>
            </w:pPr>
            <w:r w:rsidRPr="00CE6165">
              <w:rPr>
                <w:rFonts w:asciiTheme="majorBidi" w:hAnsiTheme="majorBidi" w:cstheme="majorBidi"/>
                <w:szCs w:val="22"/>
              </w:rPr>
              <w:t>Reviewing the tasks and previous session, explaining negative problem orientation, observing problems in a chain: Challenge against threats, identifying current problems, problem solving training. Homework: Developing list of current problems, identifying opportunities in personal problems, practicing problem solving skills using personal examples.</w:t>
            </w:r>
          </w:p>
        </w:tc>
      </w:tr>
      <w:tr w:rsidR="00265B5F" w:rsidRPr="00CE6165" w:rsidTr="00B175BA">
        <w:trPr>
          <w:trHeight w:val="680"/>
        </w:trPr>
        <w:tc>
          <w:tcPr>
            <w:tcW w:w="1696" w:type="dxa"/>
            <w:vAlign w:val="center"/>
          </w:tcPr>
          <w:p w:rsidR="00265B5F" w:rsidRPr="00CE6165" w:rsidRDefault="00265B5F" w:rsidP="00A15CF5">
            <w:pPr>
              <w:spacing w:before="100" w:beforeAutospacing="1" w:after="100" w:afterAutospacing="1" w:line="276" w:lineRule="auto"/>
              <w:jc w:val="center"/>
              <w:rPr>
                <w:rFonts w:asciiTheme="majorBidi" w:eastAsia="Calibri" w:hAnsiTheme="majorBidi" w:cstheme="majorBidi"/>
                <w:b/>
                <w:sz w:val="24"/>
                <w:szCs w:val="24"/>
              </w:rPr>
            </w:pPr>
            <w:r w:rsidRPr="00CE6165">
              <w:rPr>
                <w:rFonts w:asciiTheme="majorBidi" w:hAnsiTheme="majorBidi" w:cstheme="majorBidi"/>
                <w:b/>
                <w:sz w:val="24"/>
                <w:szCs w:val="24"/>
              </w:rPr>
              <w:lastRenderedPageBreak/>
              <w:t>Session 10 -11</w:t>
            </w:r>
          </w:p>
        </w:tc>
        <w:tc>
          <w:tcPr>
            <w:tcW w:w="7320" w:type="dxa"/>
            <w:vAlign w:val="center"/>
          </w:tcPr>
          <w:p w:rsidR="00265B5F" w:rsidRPr="00CE6165" w:rsidRDefault="00265B5F" w:rsidP="00A15CF5">
            <w:pPr>
              <w:spacing w:before="100" w:beforeAutospacing="1" w:after="100" w:afterAutospacing="1"/>
              <w:jc w:val="both"/>
              <w:rPr>
                <w:rFonts w:asciiTheme="majorBidi" w:eastAsia="Calibri" w:hAnsiTheme="majorBidi" w:cstheme="majorBidi"/>
                <w:szCs w:val="22"/>
              </w:rPr>
            </w:pPr>
            <w:r w:rsidRPr="00CE6165">
              <w:rPr>
                <w:rFonts w:asciiTheme="majorBidi" w:hAnsiTheme="majorBidi" w:cstheme="majorBidi"/>
                <w:szCs w:val="22"/>
              </w:rPr>
              <w:t>Reviewing the tasks and previous session, familiarization with copping principles, providing the main logic of imagined coping for fear of hypothetical situations. Homework: Developing worry scenario, daily practice for imagined coping.</w:t>
            </w:r>
          </w:p>
        </w:tc>
      </w:tr>
      <w:tr w:rsidR="00265B5F" w:rsidRPr="00CE6165" w:rsidTr="00B175BA">
        <w:trPr>
          <w:trHeight w:val="680"/>
        </w:trPr>
        <w:tc>
          <w:tcPr>
            <w:tcW w:w="1696" w:type="dxa"/>
            <w:vAlign w:val="center"/>
          </w:tcPr>
          <w:p w:rsidR="00265B5F" w:rsidRPr="00CE6165" w:rsidRDefault="00265B5F" w:rsidP="00A15CF5">
            <w:pPr>
              <w:spacing w:before="100" w:beforeAutospacing="1" w:after="100" w:afterAutospacing="1" w:line="276" w:lineRule="auto"/>
              <w:jc w:val="center"/>
              <w:rPr>
                <w:rFonts w:asciiTheme="majorBidi" w:eastAsia="Calibri" w:hAnsiTheme="majorBidi" w:cstheme="majorBidi"/>
                <w:b/>
                <w:sz w:val="24"/>
                <w:szCs w:val="24"/>
              </w:rPr>
            </w:pPr>
            <w:r w:rsidRPr="00CE6165">
              <w:rPr>
                <w:rFonts w:asciiTheme="majorBidi" w:hAnsiTheme="majorBidi" w:cstheme="majorBidi"/>
                <w:b/>
                <w:sz w:val="24"/>
                <w:szCs w:val="24"/>
              </w:rPr>
              <w:t>Session 12</w:t>
            </w:r>
          </w:p>
        </w:tc>
        <w:tc>
          <w:tcPr>
            <w:tcW w:w="7320" w:type="dxa"/>
            <w:vAlign w:val="center"/>
          </w:tcPr>
          <w:p w:rsidR="00265B5F" w:rsidRPr="00CE6165" w:rsidRDefault="00265B5F" w:rsidP="00A15CF5">
            <w:pPr>
              <w:spacing w:before="100" w:beforeAutospacing="1" w:after="100" w:afterAutospacing="1"/>
              <w:jc w:val="both"/>
              <w:rPr>
                <w:rFonts w:asciiTheme="majorBidi" w:eastAsia="Calibri" w:hAnsiTheme="majorBidi" w:cstheme="majorBidi"/>
                <w:szCs w:val="22"/>
              </w:rPr>
            </w:pPr>
            <w:r w:rsidRPr="00CE6165">
              <w:rPr>
                <w:rFonts w:asciiTheme="majorBidi" w:hAnsiTheme="majorBidi" w:cstheme="majorBidi"/>
                <w:szCs w:val="22"/>
              </w:rPr>
              <w:t>Reviewing the tasks and previous session, preventing from recurrence, which included 3 parts: Identifying daily continuity factors; identifying risky situations; preparing for coping with high-risk situations. Stabilization of therapeutic achievements.</w:t>
            </w:r>
          </w:p>
        </w:tc>
      </w:tr>
    </w:tbl>
    <w:p w:rsidR="00185091" w:rsidRPr="00CE6165" w:rsidRDefault="004F1458" w:rsidP="00185091">
      <w:pPr>
        <w:spacing w:before="100" w:beforeAutospacing="1" w:after="100" w:afterAutospacing="1" w:line="240" w:lineRule="auto"/>
        <w:jc w:val="both"/>
        <w:rPr>
          <w:rFonts w:asciiTheme="majorBidi" w:eastAsia="Times New Roman" w:hAnsiTheme="majorBidi" w:cstheme="majorBidi"/>
          <w:sz w:val="28"/>
          <w:szCs w:val="28"/>
        </w:rPr>
      </w:pPr>
      <w:r w:rsidRPr="00CE6165">
        <w:rPr>
          <w:rFonts w:asciiTheme="majorBidi" w:hAnsiTheme="majorBidi" w:cstheme="majorBidi"/>
          <w:b/>
          <w:sz w:val="28"/>
          <w:szCs w:val="28"/>
        </w:rPr>
        <w:t>Measures</w:t>
      </w:r>
    </w:p>
    <w:p w:rsidR="00185091" w:rsidRPr="00CE6165" w:rsidRDefault="00185091" w:rsidP="000D04EC">
      <w:pPr>
        <w:spacing w:before="100" w:beforeAutospacing="1" w:after="100" w:afterAutospacing="1" w:line="240" w:lineRule="auto"/>
        <w:jc w:val="both"/>
        <w:rPr>
          <w:rFonts w:asciiTheme="majorBidi" w:eastAsia="Times New Roman" w:hAnsiTheme="majorBidi" w:cstheme="majorBidi"/>
          <w:color w:val="000000"/>
          <w:sz w:val="24"/>
          <w:szCs w:val="24"/>
        </w:rPr>
      </w:pPr>
      <w:r w:rsidRPr="00CE6165">
        <w:rPr>
          <w:rFonts w:asciiTheme="majorBidi" w:hAnsiTheme="majorBidi" w:cstheme="majorBidi"/>
          <w:i/>
          <w:iCs/>
          <w:color w:val="000000"/>
          <w:sz w:val="24"/>
          <w:szCs w:val="24"/>
        </w:rPr>
        <w:t>Structured Clinical Interview for DSM-5</w:t>
      </w:r>
      <w:r w:rsidRPr="00CE6165">
        <w:rPr>
          <w:rFonts w:asciiTheme="majorBidi" w:hAnsiTheme="majorBidi" w:cstheme="majorBidi"/>
          <w:color w:val="000000"/>
          <w:sz w:val="24"/>
          <w:szCs w:val="24"/>
        </w:rPr>
        <w:t xml:space="preserve"> (SCID-5): This is a tool for diagnosis of disorders based on fifth edition of Diagnostic and Statistical Manual of Mental Disorders (DSM-5) </w:t>
      </w:r>
      <w:r w:rsidR="000D04EC" w:rsidRPr="00CE6165">
        <w:rPr>
          <w:rFonts w:asciiTheme="majorBidi" w:hAnsiTheme="majorBidi" w:cstheme="majorBidi"/>
          <w:color w:val="000000"/>
          <w:sz w:val="24"/>
          <w:szCs w:val="24"/>
        </w:rPr>
        <w:t>(</w:t>
      </w:r>
      <w:r w:rsidR="00020151" w:rsidRPr="00CE6165">
        <w:rPr>
          <w:rFonts w:ascii="Times New Roman" w:eastAsia="Times New Roman" w:hAnsi="Times New Roman" w:cs="Times New Roman"/>
          <w:szCs w:val="22"/>
        </w:rPr>
        <w:t xml:space="preserve">First, Williams, </w:t>
      </w:r>
      <w:proofErr w:type="spellStart"/>
      <w:r w:rsidR="00020151" w:rsidRPr="00CE6165">
        <w:rPr>
          <w:rFonts w:ascii="Times New Roman" w:eastAsia="Times New Roman" w:hAnsi="Times New Roman" w:cs="Times New Roman"/>
          <w:szCs w:val="22"/>
        </w:rPr>
        <w:t>Karg</w:t>
      </w:r>
      <w:proofErr w:type="spellEnd"/>
      <w:r w:rsidR="00020151" w:rsidRPr="00CE6165">
        <w:rPr>
          <w:rFonts w:ascii="Times New Roman" w:eastAsia="Times New Roman" w:hAnsi="Times New Roman" w:cs="Times New Roman"/>
          <w:szCs w:val="22"/>
        </w:rPr>
        <w:t xml:space="preserve">, </w:t>
      </w:r>
      <w:r w:rsidR="000D04EC" w:rsidRPr="00CE6165">
        <w:rPr>
          <w:rFonts w:ascii="Times New Roman" w:eastAsia="Times New Roman" w:hAnsi="Times New Roman" w:cs="Times New Roman"/>
          <w:szCs w:val="22"/>
        </w:rPr>
        <w:t>&amp;</w:t>
      </w:r>
      <w:r w:rsidR="00B175BA" w:rsidRPr="00CE6165">
        <w:rPr>
          <w:rFonts w:ascii="Times New Roman" w:eastAsia="Times New Roman" w:hAnsi="Times New Roman" w:cs="Times New Roman"/>
          <w:szCs w:val="22"/>
        </w:rPr>
        <w:t xml:space="preserve"> </w:t>
      </w:r>
      <w:r w:rsidR="00020151" w:rsidRPr="00CE6165">
        <w:rPr>
          <w:rFonts w:ascii="Times New Roman" w:eastAsia="Times New Roman" w:hAnsi="Times New Roman" w:cs="Times New Roman"/>
          <w:szCs w:val="22"/>
        </w:rPr>
        <w:t>Spitzer</w:t>
      </w:r>
      <w:r w:rsidR="000D04EC" w:rsidRPr="00CE6165">
        <w:rPr>
          <w:rFonts w:ascii="Times New Roman" w:eastAsia="Times New Roman" w:hAnsi="Times New Roman" w:cs="Times New Roman"/>
          <w:szCs w:val="22"/>
        </w:rPr>
        <w:t>, 2015</w:t>
      </w:r>
      <w:r w:rsidR="000D04EC" w:rsidRPr="00CE6165">
        <w:rPr>
          <w:rFonts w:asciiTheme="majorBidi" w:hAnsiTheme="majorBidi" w:cstheme="majorBidi"/>
          <w:color w:val="000000"/>
          <w:sz w:val="24"/>
          <w:szCs w:val="24"/>
        </w:rPr>
        <w:t>)</w:t>
      </w:r>
      <w:r w:rsidRPr="00CE6165">
        <w:rPr>
          <w:rFonts w:asciiTheme="majorBidi" w:hAnsiTheme="majorBidi" w:cstheme="majorBidi"/>
          <w:color w:val="000000"/>
          <w:sz w:val="24"/>
          <w:szCs w:val="24"/>
        </w:rPr>
        <w:t>. This tool is a clinical interview version (SCID-5-CV) which mostly covers psychological diagnosis and it was designed for application in clinical environments and clinical research works. This tool was used for initial clinical interview and evaluation in the current research.</w:t>
      </w:r>
    </w:p>
    <w:p w:rsidR="00185091" w:rsidRPr="00CE6165" w:rsidRDefault="00185091" w:rsidP="00A35EB3">
      <w:pPr>
        <w:spacing w:before="100" w:beforeAutospacing="1" w:after="100" w:afterAutospacing="1" w:line="240" w:lineRule="auto"/>
        <w:jc w:val="both"/>
        <w:rPr>
          <w:rFonts w:asciiTheme="majorBidi" w:eastAsia="Times New Roman" w:hAnsiTheme="majorBidi" w:cstheme="majorBidi"/>
          <w:color w:val="000000"/>
          <w:sz w:val="24"/>
          <w:szCs w:val="24"/>
        </w:rPr>
      </w:pPr>
      <w:r w:rsidRPr="00CE6165">
        <w:rPr>
          <w:rFonts w:asciiTheme="majorBidi" w:hAnsiTheme="majorBidi" w:cstheme="majorBidi"/>
          <w:i/>
          <w:iCs/>
          <w:color w:val="000000"/>
          <w:sz w:val="24"/>
          <w:szCs w:val="24"/>
        </w:rPr>
        <w:t>Beck Anxiety Inventory</w:t>
      </w:r>
      <w:r w:rsidRPr="00CE6165">
        <w:rPr>
          <w:rFonts w:asciiTheme="majorBidi" w:hAnsiTheme="majorBidi" w:cstheme="majorBidi"/>
          <w:color w:val="000000"/>
          <w:sz w:val="24"/>
          <w:szCs w:val="24"/>
        </w:rPr>
        <w:t xml:space="preserve"> (BAI</w:t>
      </w:r>
      <w:r w:rsidR="00CD6D08" w:rsidRPr="00CE6165">
        <w:rPr>
          <w:rFonts w:asciiTheme="majorBidi" w:hAnsiTheme="majorBidi" w:cstheme="majorBidi"/>
          <w:color w:val="000000"/>
          <w:sz w:val="24"/>
          <w:szCs w:val="24"/>
        </w:rPr>
        <w:t xml:space="preserve"> ; </w:t>
      </w:r>
      <w:r w:rsidR="000D04EC" w:rsidRPr="00CE6165">
        <w:rPr>
          <w:rFonts w:ascii="Times New Roman" w:eastAsia="Times New Roman" w:hAnsi="Times New Roman" w:cs="Times New Roman"/>
          <w:sz w:val="20"/>
        </w:rPr>
        <w:t>Beck, Epstein, Brown, &amp; Steer, 1988)</w:t>
      </w:r>
      <w:r w:rsidRPr="00CE6165">
        <w:rPr>
          <w:rFonts w:asciiTheme="majorBidi" w:hAnsiTheme="majorBidi" w:cstheme="majorBidi"/>
          <w:color w:val="000000"/>
          <w:sz w:val="24"/>
          <w:szCs w:val="24"/>
        </w:rPr>
        <w:t xml:space="preserve"> </w:t>
      </w:r>
      <w:r w:rsidR="00CD6D08" w:rsidRPr="00CE6165">
        <w:rPr>
          <w:rFonts w:asciiTheme="majorBidi" w:hAnsiTheme="majorBidi" w:cstheme="majorBidi"/>
          <w:color w:val="000000"/>
          <w:sz w:val="24"/>
          <w:szCs w:val="24"/>
        </w:rPr>
        <w:t xml:space="preserve">contains 21 items </w:t>
      </w:r>
      <w:r w:rsidRPr="00CE6165">
        <w:rPr>
          <w:rFonts w:asciiTheme="majorBidi" w:hAnsiTheme="majorBidi" w:cstheme="majorBidi"/>
          <w:color w:val="000000"/>
          <w:sz w:val="24"/>
          <w:szCs w:val="24"/>
        </w:rPr>
        <w:t xml:space="preserve">and contains 21 items which actually measure 21 anxiety symptoms, and each item is scored between 0 - 3 according to Likert scale </w:t>
      </w:r>
      <w:r w:rsidR="00F7045F" w:rsidRPr="00CE6165">
        <w:rPr>
          <w:rFonts w:asciiTheme="majorBidi" w:hAnsiTheme="majorBidi" w:cstheme="majorBidi"/>
          <w:color w:val="000000"/>
          <w:sz w:val="24"/>
          <w:szCs w:val="24"/>
        </w:rPr>
        <w:t>(Beck et al, 1988)</w:t>
      </w:r>
      <w:r w:rsidRPr="00CE6165">
        <w:rPr>
          <w:rFonts w:asciiTheme="majorBidi" w:hAnsiTheme="majorBidi" w:cstheme="majorBidi"/>
          <w:color w:val="000000"/>
          <w:sz w:val="24"/>
          <w:szCs w:val="24"/>
        </w:rPr>
        <w:t xml:space="preserve">. Range of scores is between 0 - 63, and higher scores denote higher anxiety level. Each statement represents an anxiety symptom. Individuals which are clinically anxious or are at anxious status, experience some of these symptoms. Beck et </w:t>
      </w:r>
      <w:r w:rsidR="002E0047" w:rsidRPr="00CE6165">
        <w:rPr>
          <w:rFonts w:asciiTheme="majorBidi" w:hAnsiTheme="majorBidi" w:cstheme="majorBidi"/>
          <w:color w:val="000000"/>
          <w:sz w:val="24"/>
          <w:szCs w:val="24"/>
        </w:rPr>
        <w:t>al (</w:t>
      </w:r>
      <w:r w:rsidR="00A35EB3" w:rsidRPr="00CE6165">
        <w:rPr>
          <w:rFonts w:asciiTheme="majorBidi" w:hAnsiTheme="majorBidi" w:cstheme="majorBidi"/>
          <w:color w:val="000000"/>
          <w:sz w:val="24"/>
          <w:szCs w:val="24"/>
        </w:rPr>
        <w:t>1988)</w:t>
      </w:r>
      <w:r w:rsidRPr="00CE6165">
        <w:rPr>
          <w:rFonts w:asciiTheme="majorBidi" w:hAnsiTheme="majorBidi" w:cstheme="majorBidi"/>
          <w:color w:val="000000"/>
          <w:sz w:val="24"/>
          <w:szCs w:val="24"/>
        </w:rPr>
        <w:t xml:space="preserve">. reported internal consistency of this scale as 0.92, and its one-week Test-retest reliability was reported as 0.75, and correlation of its items was calculated as 0.30 - 0.76. </w:t>
      </w:r>
      <w:r w:rsidR="0016490F" w:rsidRPr="00CE6165">
        <w:rPr>
          <w:rFonts w:asciiTheme="majorBidi" w:hAnsiTheme="majorBidi" w:cstheme="majorBidi"/>
          <w:color w:val="000000"/>
          <w:sz w:val="24"/>
          <w:szCs w:val="24"/>
        </w:rPr>
        <w:t>In</w:t>
      </w:r>
      <w:r w:rsidR="00A35EB3" w:rsidRPr="00CE6165">
        <w:rPr>
          <w:rFonts w:asciiTheme="majorBidi" w:hAnsiTheme="majorBidi" w:cstheme="majorBidi"/>
          <w:color w:val="000000"/>
          <w:sz w:val="24"/>
          <w:szCs w:val="24"/>
        </w:rPr>
        <w:t xml:space="preserve"> </w:t>
      </w:r>
      <w:proofErr w:type="spellStart"/>
      <w:r w:rsidR="00A35EB3" w:rsidRPr="00CE6165">
        <w:rPr>
          <w:rFonts w:asciiTheme="majorBidi" w:hAnsiTheme="majorBidi" w:cstheme="majorBidi"/>
          <w:color w:val="000000"/>
          <w:sz w:val="24"/>
          <w:szCs w:val="24"/>
        </w:rPr>
        <w:t>iran</w:t>
      </w:r>
      <w:proofErr w:type="spellEnd"/>
      <w:r w:rsidR="00A35EB3" w:rsidRPr="00CE6165">
        <w:rPr>
          <w:rFonts w:asciiTheme="majorBidi" w:hAnsiTheme="majorBidi" w:cstheme="majorBidi"/>
          <w:color w:val="000000"/>
          <w:sz w:val="24"/>
          <w:szCs w:val="24"/>
        </w:rPr>
        <w:t xml:space="preserve"> </w:t>
      </w:r>
      <w:proofErr w:type="spellStart"/>
      <w:r w:rsidRPr="00CE6165">
        <w:rPr>
          <w:rFonts w:asciiTheme="majorBidi" w:hAnsiTheme="majorBidi" w:cstheme="majorBidi"/>
          <w:color w:val="000000"/>
          <w:sz w:val="24"/>
          <w:szCs w:val="24"/>
        </w:rPr>
        <w:t>Kaviyani</w:t>
      </w:r>
      <w:proofErr w:type="spellEnd"/>
      <w:r w:rsidRPr="00CE6165">
        <w:rPr>
          <w:rFonts w:asciiTheme="majorBidi" w:hAnsiTheme="majorBidi" w:cstheme="majorBidi"/>
          <w:color w:val="000000"/>
          <w:sz w:val="24"/>
          <w:szCs w:val="24"/>
        </w:rPr>
        <w:t xml:space="preserve"> and </w:t>
      </w:r>
      <w:proofErr w:type="spellStart"/>
      <w:r w:rsidRPr="00CE6165">
        <w:rPr>
          <w:rFonts w:asciiTheme="majorBidi" w:hAnsiTheme="majorBidi" w:cstheme="majorBidi"/>
          <w:color w:val="000000"/>
          <w:sz w:val="24"/>
          <w:szCs w:val="24"/>
        </w:rPr>
        <w:t>Musavi</w:t>
      </w:r>
      <w:proofErr w:type="spellEnd"/>
      <w:r w:rsidR="00A35EB3" w:rsidRPr="00CE6165">
        <w:rPr>
          <w:rFonts w:asciiTheme="majorBidi" w:hAnsiTheme="majorBidi" w:cstheme="majorBidi"/>
          <w:color w:val="000000"/>
          <w:sz w:val="24"/>
          <w:szCs w:val="24"/>
        </w:rPr>
        <w:t xml:space="preserve"> (2008)</w:t>
      </w:r>
      <w:r w:rsidRPr="00CE6165">
        <w:rPr>
          <w:rFonts w:asciiTheme="majorBidi" w:hAnsiTheme="majorBidi" w:cstheme="majorBidi"/>
          <w:color w:val="000000"/>
          <w:sz w:val="24"/>
          <w:szCs w:val="24"/>
        </w:rPr>
        <w:t xml:space="preserve"> obtained Cronbach's alpha coefficient for this scale as 0.92, and its reliability coefficient was calculated as 0.83 using Test-retest method. </w:t>
      </w:r>
    </w:p>
    <w:p w:rsidR="00185091" w:rsidRPr="00CE6165" w:rsidRDefault="00185091" w:rsidP="00E74F51">
      <w:pPr>
        <w:spacing w:before="100" w:beforeAutospacing="1" w:after="100" w:afterAutospacing="1" w:line="240" w:lineRule="auto"/>
        <w:jc w:val="both"/>
        <w:rPr>
          <w:rFonts w:asciiTheme="majorBidi" w:eastAsia="Times New Roman" w:hAnsiTheme="majorBidi" w:cstheme="majorBidi"/>
          <w:sz w:val="24"/>
          <w:szCs w:val="24"/>
        </w:rPr>
      </w:pPr>
      <w:r w:rsidRPr="00CE6165">
        <w:rPr>
          <w:rFonts w:asciiTheme="majorBidi" w:hAnsiTheme="majorBidi" w:cstheme="majorBidi"/>
          <w:i/>
          <w:iCs/>
          <w:sz w:val="24"/>
          <w:szCs w:val="24"/>
        </w:rPr>
        <w:t>Penn state Worry Questionnaire</w:t>
      </w:r>
      <w:r w:rsidRPr="00CE6165">
        <w:rPr>
          <w:rFonts w:asciiTheme="majorBidi" w:hAnsiTheme="majorBidi" w:cstheme="majorBidi"/>
          <w:sz w:val="24"/>
          <w:szCs w:val="24"/>
        </w:rPr>
        <w:t xml:space="preserve"> (PSWQ</w:t>
      </w:r>
      <w:r w:rsidR="0065458E" w:rsidRPr="00CE6165">
        <w:rPr>
          <w:rFonts w:asciiTheme="majorBidi" w:hAnsiTheme="majorBidi" w:cstheme="majorBidi"/>
          <w:sz w:val="24"/>
          <w:szCs w:val="24"/>
        </w:rPr>
        <w:t xml:space="preserve">; </w:t>
      </w:r>
      <w:r w:rsidRPr="00CE6165">
        <w:rPr>
          <w:rFonts w:asciiTheme="majorBidi" w:hAnsiTheme="majorBidi" w:cstheme="majorBidi"/>
          <w:sz w:val="24"/>
          <w:szCs w:val="24"/>
        </w:rPr>
        <w:t xml:space="preserve">Meyer, Miller, Metzger, </w:t>
      </w:r>
      <w:r w:rsidR="0065458E" w:rsidRPr="00CE6165">
        <w:rPr>
          <w:rFonts w:asciiTheme="majorBidi" w:hAnsiTheme="majorBidi" w:cstheme="majorBidi"/>
          <w:sz w:val="24"/>
          <w:szCs w:val="24"/>
        </w:rPr>
        <w:t>&amp;</w:t>
      </w:r>
      <w:r w:rsidRPr="00CE6165">
        <w:rPr>
          <w:rFonts w:asciiTheme="majorBidi" w:hAnsiTheme="majorBidi" w:cstheme="majorBidi"/>
          <w:sz w:val="24"/>
          <w:szCs w:val="24"/>
        </w:rPr>
        <w:t xml:space="preserve"> Borkovec</w:t>
      </w:r>
      <w:r w:rsidR="0065458E" w:rsidRPr="00CE6165">
        <w:rPr>
          <w:rFonts w:asciiTheme="majorBidi" w:hAnsiTheme="majorBidi" w:cstheme="majorBidi"/>
          <w:sz w:val="24"/>
          <w:szCs w:val="24"/>
        </w:rPr>
        <w:t>, 1990</w:t>
      </w:r>
      <w:r w:rsidRPr="00CE6165">
        <w:rPr>
          <w:rFonts w:asciiTheme="majorBidi" w:hAnsiTheme="majorBidi" w:cstheme="majorBidi"/>
          <w:sz w:val="24"/>
          <w:szCs w:val="24"/>
        </w:rPr>
        <w:t xml:space="preserve">): This questionnaire is a gold standard in measuring the worry that has been used in the past decade in most studies related to GAD. Penn state Worry Questionnaire is a 16-item questionnaire of worry construct, and it is scored according to five-point Likert scale. It has high internal consistency (alpha = 0.86 - 0.95) and its Test-retest reliability was reported as 0.74 - 0.93 within four weeks </w:t>
      </w:r>
      <w:r w:rsidR="00176868" w:rsidRPr="00CE6165">
        <w:rPr>
          <w:rFonts w:asciiTheme="majorBidi" w:hAnsiTheme="majorBidi" w:cstheme="majorBidi"/>
          <w:sz w:val="24"/>
          <w:szCs w:val="24"/>
        </w:rPr>
        <w:t>(</w:t>
      </w:r>
      <w:r w:rsidR="00176868" w:rsidRPr="00CE6165">
        <w:rPr>
          <w:rFonts w:asciiTheme="majorBidi" w:hAnsiTheme="majorBidi" w:cstheme="majorBidi"/>
          <w:szCs w:val="22"/>
        </w:rPr>
        <w:t>Molina &amp; Borkovec, 1994</w:t>
      </w:r>
      <w:r w:rsidR="00176868" w:rsidRPr="00CE6165">
        <w:rPr>
          <w:rFonts w:asciiTheme="majorBidi" w:hAnsiTheme="majorBidi" w:cstheme="majorBidi"/>
          <w:sz w:val="24"/>
          <w:szCs w:val="24"/>
        </w:rPr>
        <w:t>)</w:t>
      </w:r>
      <w:r w:rsidRPr="00CE6165">
        <w:rPr>
          <w:rFonts w:asciiTheme="majorBidi" w:hAnsiTheme="majorBidi" w:cstheme="majorBidi"/>
          <w:sz w:val="24"/>
          <w:szCs w:val="24"/>
        </w:rPr>
        <w:t xml:space="preserve">.  In Iran, Cronbach's alpha coefficient was calculated as 0.91 for internal consistency of total score of worry, and its Test-retest reliability was reported as 0.78 in two times with two to four weeks interval for total score of worry </w:t>
      </w:r>
      <w:r w:rsidR="00E74F51" w:rsidRPr="00CE6165">
        <w:rPr>
          <w:rFonts w:asciiTheme="majorBidi" w:hAnsiTheme="majorBidi" w:cstheme="majorBidi"/>
          <w:sz w:val="24"/>
          <w:szCs w:val="24"/>
        </w:rPr>
        <w:t>(</w:t>
      </w:r>
      <w:proofErr w:type="spellStart"/>
      <w:r w:rsidR="00E74F51" w:rsidRPr="00CE6165">
        <w:rPr>
          <w:rFonts w:ascii="Times New Roman" w:eastAsia="Times New Roman" w:hAnsi="Times New Roman" w:cs="Times New Roman"/>
          <w:szCs w:val="22"/>
        </w:rPr>
        <w:t>Besharat</w:t>
      </w:r>
      <w:proofErr w:type="spellEnd"/>
      <w:r w:rsidR="00E74F51" w:rsidRPr="00CE6165">
        <w:rPr>
          <w:rFonts w:ascii="Times New Roman" w:eastAsia="Times New Roman" w:hAnsi="Times New Roman" w:cs="Times New Roman"/>
          <w:szCs w:val="22"/>
        </w:rPr>
        <w:t xml:space="preserve"> , 2007</w:t>
      </w:r>
      <w:r w:rsidR="00E74F51" w:rsidRPr="00CE6165">
        <w:rPr>
          <w:rFonts w:asciiTheme="majorBidi" w:hAnsiTheme="majorBidi" w:cstheme="majorBidi"/>
          <w:sz w:val="24"/>
          <w:szCs w:val="24"/>
        </w:rPr>
        <w:t>)</w:t>
      </w:r>
      <w:r w:rsidRPr="00CE6165">
        <w:rPr>
          <w:rFonts w:asciiTheme="majorBidi" w:hAnsiTheme="majorBidi" w:cstheme="majorBidi"/>
          <w:sz w:val="24"/>
          <w:szCs w:val="24"/>
        </w:rPr>
        <w:t>.</w:t>
      </w:r>
    </w:p>
    <w:p w:rsidR="00185091" w:rsidRPr="00CE6165" w:rsidRDefault="00185091" w:rsidP="00120249">
      <w:pPr>
        <w:spacing w:before="100" w:beforeAutospacing="1" w:after="100" w:afterAutospacing="1" w:line="240" w:lineRule="auto"/>
        <w:jc w:val="both"/>
        <w:rPr>
          <w:rFonts w:asciiTheme="majorBidi" w:eastAsia="Times New Roman" w:hAnsiTheme="majorBidi" w:cstheme="majorBidi"/>
          <w:sz w:val="24"/>
          <w:szCs w:val="24"/>
        </w:rPr>
      </w:pPr>
      <w:r w:rsidRPr="00CE6165">
        <w:rPr>
          <w:rFonts w:asciiTheme="majorBidi" w:hAnsiTheme="majorBidi" w:cstheme="majorBidi"/>
          <w:i/>
          <w:iCs/>
          <w:sz w:val="24"/>
          <w:szCs w:val="24"/>
        </w:rPr>
        <w:t>Why Worry Questionnaire</w:t>
      </w:r>
      <w:r w:rsidRPr="00CE6165">
        <w:rPr>
          <w:rFonts w:asciiTheme="majorBidi" w:hAnsiTheme="majorBidi" w:cstheme="majorBidi"/>
          <w:sz w:val="24"/>
          <w:szCs w:val="24"/>
        </w:rPr>
        <w:t xml:space="preserve"> (WWQ-II</w:t>
      </w:r>
      <w:r w:rsidR="003B253E" w:rsidRPr="00CE6165">
        <w:rPr>
          <w:rFonts w:asciiTheme="majorBidi" w:hAnsiTheme="majorBidi" w:cstheme="majorBidi"/>
          <w:sz w:val="24"/>
          <w:szCs w:val="24"/>
        </w:rPr>
        <w:t>;</w:t>
      </w:r>
      <w:r w:rsidRPr="00CE6165">
        <w:rPr>
          <w:rFonts w:asciiTheme="majorBidi" w:hAnsiTheme="majorBidi" w:cstheme="majorBidi"/>
          <w:sz w:val="24"/>
          <w:szCs w:val="24"/>
        </w:rPr>
        <w:t xml:space="preserve"> </w:t>
      </w:r>
      <w:proofErr w:type="spellStart"/>
      <w:r w:rsidRPr="00CE6165">
        <w:rPr>
          <w:rFonts w:asciiTheme="majorBidi" w:hAnsiTheme="majorBidi" w:cstheme="majorBidi"/>
          <w:sz w:val="24"/>
          <w:szCs w:val="24"/>
        </w:rPr>
        <w:t>Holowka</w:t>
      </w:r>
      <w:proofErr w:type="spellEnd"/>
      <w:r w:rsidRPr="00CE6165">
        <w:rPr>
          <w:rFonts w:asciiTheme="majorBidi" w:hAnsiTheme="majorBidi" w:cstheme="majorBidi"/>
          <w:sz w:val="24"/>
          <w:szCs w:val="24"/>
        </w:rPr>
        <w:t xml:space="preserve">, </w:t>
      </w:r>
      <w:proofErr w:type="spellStart"/>
      <w:r w:rsidRPr="00CE6165">
        <w:rPr>
          <w:rFonts w:asciiTheme="majorBidi" w:hAnsiTheme="majorBidi" w:cstheme="majorBidi"/>
          <w:sz w:val="24"/>
          <w:szCs w:val="24"/>
        </w:rPr>
        <w:t>Dugas</w:t>
      </w:r>
      <w:proofErr w:type="spellEnd"/>
      <w:r w:rsidRPr="00CE6165">
        <w:rPr>
          <w:rFonts w:asciiTheme="majorBidi" w:hAnsiTheme="majorBidi" w:cstheme="majorBidi"/>
          <w:sz w:val="24"/>
          <w:szCs w:val="24"/>
        </w:rPr>
        <w:t xml:space="preserve">, Francis </w:t>
      </w:r>
      <w:r w:rsidR="003B253E" w:rsidRPr="00CE6165">
        <w:rPr>
          <w:rFonts w:asciiTheme="majorBidi" w:hAnsiTheme="majorBidi" w:cstheme="majorBidi"/>
          <w:sz w:val="24"/>
          <w:szCs w:val="24"/>
        </w:rPr>
        <w:t>&amp;</w:t>
      </w:r>
      <w:r w:rsidRPr="00CE6165">
        <w:rPr>
          <w:rFonts w:asciiTheme="majorBidi" w:hAnsiTheme="majorBidi" w:cstheme="majorBidi"/>
          <w:sz w:val="24"/>
          <w:szCs w:val="24"/>
        </w:rPr>
        <w:t xml:space="preserve"> </w:t>
      </w:r>
      <w:proofErr w:type="spellStart"/>
      <w:r w:rsidRPr="00CE6165">
        <w:rPr>
          <w:rFonts w:asciiTheme="majorBidi" w:hAnsiTheme="majorBidi" w:cstheme="majorBidi"/>
          <w:sz w:val="24"/>
          <w:szCs w:val="24"/>
        </w:rPr>
        <w:t>Laugesen</w:t>
      </w:r>
      <w:proofErr w:type="spellEnd"/>
      <w:r w:rsidR="003B253E" w:rsidRPr="00CE6165">
        <w:rPr>
          <w:rFonts w:asciiTheme="majorBidi" w:hAnsiTheme="majorBidi" w:cstheme="majorBidi"/>
          <w:sz w:val="24"/>
          <w:szCs w:val="24"/>
        </w:rPr>
        <w:t>, 2000)</w:t>
      </w:r>
      <w:r w:rsidRPr="00CE6165">
        <w:rPr>
          <w:rFonts w:asciiTheme="majorBidi" w:hAnsiTheme="majorBidi" w:cstheme="majorBidi"/>
          <w:sz w:val="24"/>
          <w:szCs w:val="24"/>
        </w:rPr>
        <w:t xml:space="preserve"> this questionnaire </w:t>
      </w:r>
      <w:r w:rsidR="003B253E" w:rsidRPr="00CE6165">
        <w:rPr>
          <w:rFonts w:asciiTheme="majorBidi" w:hAnsiTheme="majorBidi" w:cstheme="majorBidi"/>
          <w:sz w:val="24"/>
          <w:szCs w:val="24"/>
        </w:rPr>
        <w:t xml:space="preserve">designed </w:t>
      </w:r>
      <w:r w:rsidRPr="00CE6165">
        <w:rPr>
          <w:rFonts w:asciiTheme="majorBidi" w:hAnsiTheme="majorBidi" w:cstheme="majorBidi"/>
          <w:sz w:val="24"/>
          <w:szCs w:val="24"/>
        </w:rPr>
        <w:t xml:space="preserve">for measuring positive beliefs about worry function. It contains 25 items which are scored based on five-point Likert scale. Test-Retest reliability of this questionnaire in six weeks was reported as 0.80. In addition, research findings indicate this questionnaire has acceptable convergent and divergent validity with other scales of positive and negative beliefs about worry </w:t>
      </w:r>
      <w:r w:rsidR="006C73D8" w:rsidRPr="00CE6165">
        <w:rPr>
          <w:rFonts w:asciiTheme="majorBidi" w:hAnsiTheme="majorBidi" w:cstheme="majorBidi"/>
          <w:sz w:val="24"/>
          <w:szCs w:val="24"/>
        </w:rPr>
        <w:t>(Holowka et al, 2000)</w:t>
      </w:r>
      <w:r w:rsidRPr="00CE6165">
        <w:rPr>
          <w:rFonts w:asciiTheme="majorBidi" w:hAnsiTheme="majorBidi" w:cstheme="majorBidi"/>
          <w:sz w:val="24"/>
          <w:szCs w:val="24"/>
        </w:rPr>
        <w:t xml:space="preserve">. In Iran, the research by </w:t>
      </w:r>
      <w:proofErr w:type="spellStart"/>
      <w:r w:rsidRPr="00CE6165">
        <w:rPr>
          <w:rFonts w:asciiTheme="majorBidi" w:hAnsiTheme="majorBidi" w:cstheme="majorBidi"/>
          <w:sz w:val="24"/>
          <w:szCs w:val="24"/>
        </w:rPr>
        <w:t>Hamidpoor</w:t>
      </w:r>
      <w:proofErr w:type="spellEnd"/>
      <w:r w:rsidRPr="00CE6165">
        <w:rPr>
          <w:rFonts w:asciiTheme="majorBidi" w:hAnsiTheme="majorBidi" w:cstheme="majorBidi"/>
          <w:sz w:val="24"/>
          <w:szCs w:val="24"/>
        </w:rPr>
        <w:t xml:space="preserve"> and </w:t>
      </w:r>
      <w:proofErr w:type="spellStart"/>
      <w:r w:rsidRPr="00CE6165">
        <w:rPr>
          <w:rFonts w:asciiTheme="majorBidi" w:hAnsiTheme="majorBidi" w:cstheme="majorBidi"/>
          <w:sz w:val="24"/>
          <w:szCs w:val="24"/>
        </w:rPr>
        <w:t>Andooz</w:t>
      </w:r>
      <w:proofErr w:type="spellEnd"/>
      <w:r w:rsidRPr="00CE6165">
        <w:rPr>
          <w:rFonts w:asciiTheme="majorBidi" w:hAnsiTheme="majorBidi" w:cstheme="majorBidi"/>
          <w:sz w:val="24"/>
          <w:szCs w:val="24"/>
        </w:rPr>
        <w:t xml:space="preserve"> (</w:t>
      </w:r>
      <w:r w:rsidR="00120249" w:rsidRPr="00CE6165">
        <w:rPr>
          <w:rFonts w:asciiTheme="majorBidi" w:hAnsiTheme="majorBidi" w:cstheme="majorBidi"/>
          <w:sz w:val="24"/>
          <w:szCs w:val="24"/>
        </w:rPr>
        <w:t xml:space="preserve">as cited in </w:t>
      </w:r>
      <w:proofErr w:type="spellStart"/>
      <w:r w:rsidRPr="00CE6165">
        <w:rPr>
          <w:rFonts w:asciiTheme="majorBidi" w:hAnsiTheme="majorBidi" w:cstheme="majorBidi"/>
          <w:sz w:val="24"/>
          <w:szCs w:val="24"/>
        </w:rPr>
        <w:t>Aliloo</w:t>
      </w:r>
      <w:proofErr w:type="spellEnd"/>
      <w:r w:rsidRPr="00CE6165">
        <w:rPr>
          <w:rFonts w:asciiTheme="majorBidi" w:hAnsiTheme="majorBidi" w:cstheme="majorBidi"/>
          <w:sz w:val="24"/>
          <w:szCs w:val="24"/>
        </w:rPr>
        <w:t xml:space="preserve"> et al</w:t>
      </w:r>
      <w:r w:rsidR="006C73D8" w:rsidRPr="00CE6165">
        <w:rPr>
          <w:rFonts w:asciiTheme="majorBidi" w:hAnsiTheme="majorBidi" w:cstheme="majorBidi"/>
          <w:sz w:val="24"/>
          <w:szCs w:val="24"/>
        </w:rPr>
        <w:t>, 2010</w:t>
      </w:r>
      <w:r w:rsidRPr="00CE6165">
        <w:rPr>
          <w:rFonts w:asciiTheme="majorBidi" w:hAnsiTheme="majorBidi" w:cstheme="majorBidi"/>
          <w:sz w:val="24"/>
          <w:szCs w:val="24"/>
        </w:rPr>
        <w:t>) showed this scale has acceptable internal consistency, and Cronbach's alpha coefficient and two-month Test-retest reliability was reported as 0.80 and 0.79.</w:t>
      </w:r>
    </w:p>
    <w:p w:rsidR="00185091" w:rsidRPr="00CE6165" w:rsidRDefault="00185091" w:rsidP="00120249">
      <w:pPr>
        <w:spacing w:before="100" w:beforeAutospacing="1" w:after="100" w:afterAutospacing="1" w:line="240" w:lineRule="auto"/>
        <w:jc w:val="both"/>
        <w:rPr>
          <w:rFonts w:asciiTheme="majorBidi" w:eastAsia="Times New Roman" w:hAnsiTheme="majorBidi" w:cstheme="majorBidi"/>
          <w:sz w:val="24"/>
          <w:szCs w:val="24"/>
        </w:rPr>
      </w:pPr>
      <w:r w:rsidRPr="00CE6165">
        <w:rPr>
          <w:rFonts w:asciiTheme="majorBidi" w:hAnsiTheme="majorBidi" w:cstheme="majorBidi"/>
          <w:i/>
          <w:iCs/>
          <w:sz w:val="24"/>
          <w:szCs w:val="24"/>
        </w:rPr>
        <w:lastRenderedPageBreak/>
        <w:t>Negative Problem Orientation Questionnaire</w:t>
      </w:r>
      <w:r w:rsidRPr="00CE6165">
        <w:rPr>
          <w:rFonts w:asciiTheme="majorBidi" w:hAnsiTheme="majorBidi" w:cstheme="majorBidi"/>
          <w:sz w:val="24"/>
          <w:szCs w:val="24"/>
        </w:rPr>
        <w:t xml:space="preserve"> (</w:t>
      </w:r>
      <w:r w:rsidR="008C0EAB" w:rsidRPr="00CE6165">
        <w:rPr>
          <w:rFonts w:asciiTheme="majorBidi" w:hAnsiTheme="majorBidi" w:cstheme="majorBidi"/>
          <w:sz w:val="24"/>
          <w:szCs w:val="24"/>
        </w:rPr>
        <w:t xml:space="preserve">NPOQ; </w:t>
      </w:r>
      <w:r w:rsidR="008C0EAB" w:rsidRPr="00CE6165">
        <w:rPr>
          <w:rFonts w:ascii="Times New Roman" w:eastAsia="Times New Roman" w:hAnsi="Times New Roman" w:cs="Times New Roman"/>
          <w:szCs w:val="22"/>
        </w:rPr>
        <w:t xml:space="preserve">Gosselin, Pelletier, &amp; </w:t>
      </w:r>
      <w:proofErr w:type="spellStart"/>
      <w:r w:rsidR="008C0EAB" w:rsidRPr="00CE6165">
        <w:rPr>
          <w:rFonts w:ascii="Times New Roman" w:eastAsia="Times New Roman" w:hAnsi="Times New Roman" w:cs="Times New Roman"/>
          <w:szCs w:val="22"/>
        </w:rPr>
        <w:t>Ladouceur</w:t>
      </w:r>
      <w:proofErr w:type="spellEnd"/>
      <w:r w:rsidR="008C0EAB" w:rsidRPr="00CE6165">
        <w:rPr>
          <w:rFonts w:ascii="Times New Roman" w:eastAsia="Times New Roman" w:hAnsi="Times New Roman" w:cs="Times New Roman"/>
          <w:szCs w:val="22"/>
        </w:rPr>
        <w:t>, 2001</w:t>
      </w:r>
      <w:r w:rsidRPr="00CE6165">
        <w:rPr>
          <w:rFonts w:asciiTheme="majorBidi" w:hAnsiTheme="majorBidi" w:cstheme="majorBidi"/>
          <w:sz w:val="24"/>
          <w:szCs w:val="24"/>
        </w:rPr>
        <w:t xml:space="preserve">): It is a 12-item scale which measures individuals’ beliefs about negative problem orientation. Items of questionnaire are scored according to five-point Likert scale (completely incorrect tot completely correct). Evaluation of psychometric features of this questionnaire indicates that negative problem orientation questionnaire is single-factor, and has a very good internal consistency (a = 0.92). Also, the research results show that this questionnaire has acceptable Test-retest reliability in a five-week interval (0.80). In addition, it has good convergent and divergent validity </w:t>
      </w:r>
      <w:r w:rsidR="008C0EAB" w:rsidRPr="00CE6165">
        <w:rPr>
          <w:rFonts w:asciiTheme="majorBidi" w:hAnsiTheme="majorBidi" w:cstheme="majorBidi"/>
          <w:sz w:val="24"/>
          <w:szCs w:val="24"/>
        </w:rPr>
        <w:t>(</w:t>
      </w:r>
      <w:r w:rsidR="008C0EAB" w:rsidRPr="00CE6165">
        <w:rPr>
          <w:rFonts w:ascii="Times New Roman" w:eastAsia="Times New Roman" w:hAnsi="Times New Roman" w:cs="Times New Roman"/>
          <w:szCs w:val="22"/>
        </w:rPr>
        <w:t>Robichaud &amp; Dugas, 2005</w:t>
      </w:r>
      <w:r w:rsidR="00092ECF" w:rsidRPr="00CE6165">
        <w:rPr>
          <w:rFonts w:asciiTheme="majorBidi" w:hAnsiTheme="majorBidi" w:cstheme="majorBidi"/>
          <w:sz w:val="24"/>
          <w:szCs w:val="24"/>
        </w:rPr>
        <w:t>)</w:t>
      </w:r>
      <w:r w:rsidRPr="00CE6165">
        <w:rPr>
          <w:rFonts w:asciiTheme="majorBidi" w:hAnsiTheme="majorBidi" w:cstheme="majorBidi"/>
          <w:sz w:val="24"/>
          <w:szCs w:val="24"/>
        </w:rPr>
        <w:t xml:space="preserve">. In Iran, the research by </w:t>
      </w:r>
      <w:proofErr w:type="spellStart"/>
      <w:r w:rsidRPr="00CE6165">
        <w:rPr>
          <w:rFonts w:asciiTheme="majorBidi" w:hAnsiTheme="majorBidi" w:cstheme="majorBidi"/>
          <w:sz w:val="24"/>
          <w:szCs w:val="24"/>
        </w:rPr>
        <w:t>Hamidpoor</w:t>
      </w:r>
      <w:proofErr w:type="spellEnd"/>
      <w:r w:rsidRPr="00CE6165">
        <w:rPr>
          <w:rFonts w:asciiTheme="majorBidi" w:hAnsiTheme="majorBidi" w:cstheme="majorBidi"/>
          <w:sz w:val="24"/>
          <w:szCs w:val="24"/>
        </w:rPr>
        <w:t xml:space="preserve"> an</w:t>
      </w:r>
      <w:r w:rsidR="00E16139" w:rsidRPr="00CE6165">
        <w:rPr>
          <w:rFonts w:asciiTheme="majorBidi" w:hAnsiTheme="majorBidi" w:cstheme="majorBidi"/>
          <w:sz w:val="24"/>
          <w:szCs w:val="24"/>
        </w:rPr>
        <w:t xml:space="preserve">d </w:t>
      </w:r>
      <w:proofErr w:type="spellStart"/>
      <w:r w:rsidR="00E16139" w:rsidRPr="00CE6165">
        <w:rPr>
          <w:rFonts w:asciiTheme="majorBidi" w:hAnsiTheme="majorBidi" w:cstheme="majorBidi"/>
          <w:sz w:val="24"/>
          <w:szCs w:val="24"/>
        </w:rPr>
        <w:t>Andooz</w:t>
      </w:r>
      <w:proofErr w:type="spellEnd"/>
      <w:r w:rsidR="00E16139" w:rsidRPr="00CE6165">
        <w:rPr>
          <w:rFonts w:asciiTheme="majorBidi" w:hAnsiTheme="majorBidi" w:cstheme="majorBidi"/>
          <w:sz w:val="24"/>
          <w:szCs w:val="24"/>
        </w:rPr>
        <w:t xml:space="preserve"> (</w:t>
      </w:r>
      <w:r w:rsidR="00120249" w:rsidRPr="00CE6165">
        <w:rPr>
          <w:rFonts w:asciiTheme="majorBidi" w:hAnsiTheme="majorBidi" w:cstheme="majorBidi"/>
          <w:sz w:val="24"/>
          <w:szCs w:val="24"/>
        </w:rPr>
        <w:t>as cited in</w:t>
      </w:r>
      <w:r w:rsidR="00E16139" w:rsidRPr="00CE6165">
        <w:rPr>
          <w:rFonts w:asciiTheme="majorBidi" w:hAnsiTheme="majorBidi" w:cstheme="majorBidi"/>
          <w:sz w:val="24"/>
          <w:szCs w:val="24"/>
        </w:rPr>
        <w:t xml:space="preserve"> </w:t>
      </w:r>
      <w:proofErr w:type="spellStart"/>
      <w:r w:rsidR="00E16139" w:rsidRPr="00CE6165">
        <w:rPr>
          <w:rFonts w:asciiTheme="majorBidi" w:hAnsiTheme="majorBidi" w:cstheme="majorBidi"/>
          <w:sz w:val="24"/>
          <w:szCs w:val="24"/>
        </w:rPr>
        <w:t>Aliloo</w:t>
      </w:r>
      <w:proofErr w:type="spellEnd"/>
      <w:r w:rsidR="00E16139" w:rsidRPr="00CE6165">
        <w:rPr>
          <w:rFonts w:asciiTheme="majorBidi" w:hAnsiTheme="majorBidi" w:cstheme="majorBidi"/>
          <w:sz w:val="24"/>
          <w:szCs w:val="24"/>
        </w:rPr>
        <w:t xml:space="preserve"> et a</w:t>
      </w:r>
      <w:r w:rsidR="002E0047" w:rsidRPr="00CE6165">
        <w:rPr>
          <w:rFonts w:asciiTheme="majorBidi" w:hAnsiTheme="majorBidi" w:cstheme="majorBidi"/>
          <w:sz w:val="24"/>
          <w:szCs w:val="24"/>
        </w:rPr>
        <w:t>l, 2010</w:t>
      </w:r>
      <w:r w:rsidRPr="00CE6165">
        <w:rPr>
          <w:rFonts w:asciiTheme="majorBidi" w:hAnsiTheme="majorBidi" w:cstheme="majorBidi"/>
          <w:sz w:val="24"/>
          <w:szCs w:val="24"/>
        </w:rPr>
        <w:t>) showed this scale has acceptable internal consistency, and Cronbach's alpha coefficient and two-month Test-retest reliability was reported as 0.80 and 0.79.</w:t>
      </w:r>
    </w:p>
    <w:p w:rsidR="00185091" w:rsidRPr="00CE6165" w:rsidRDefault="00E965FD" w:rsidP="007346FB">
      <w:pPr>
        <w:spacing w:before="100" w:beforeAutospacing="1" w:after="100" w:afterAutospacing="1" w:line="276" w:lineRule="auto"/>
        <w:rPr>
          <w:rFonts w:asciiTheme="majorBidi" w:eastAsia="Calibri" w:hAnsiTheme="majorBidi" w:cstheme="majorBidi"/>
          <w:b/>
          <w:sz w:val="28"/>
          <w:szCs w:val="28"/>
        </w:rPr>
      </w:pPr>
      <w:r w:rsidRPr="00CE6165">
        <w:rPr>
          <w:rFonts w:asciiTheme="majorBidi" w:hAnsiTheme="majorBidi" w:cstheme="majorBidi"/>
          <w:b/>
          <w:sz w:val="28"/>
          <w:szCs w:val="28"/>
        </w:rPr>
        <w:t>Result</w:t>
      </w:r>
      <w:r w:rsidR="00AC6DC8" w:rsidRPr="00CE6165">
        <w:rPr>
          <w:rFonts w:asciiTheme="majorBidi" w:hAnsiTheme="majorBidi" w:cstheme="majorBidi"/>
          <w:b/>
          <w:sz w:val="28"/>
          <w:szCs w:val="28"/>
        </w:rPr>
        <w:t>s</w:t>
      </w:r>
    </w:p>
    <w:p w:rsidR="00185091" w:rsidRPr="00CE6165" w:rsidRDefault="00185091" w:rsidP="00B8168D">
      <w:pPr>
        <w:tabs>
          <w:tab w:val="left" w:pos="8491"/>
        </w:tabs>
        <w:spacing w:before="100" w:beforeAutospacing="1" w:after="100" w:afterAutospacing="1" w:line="240" w:lineRule="auto"/>
        <w:jc w:val="both"/>
        <w:rPr>
          <w:rFonts w:asciiTheme="majorBidi" w:hAnsiTheme="majorBidi" w:cstheme="majorBidi"/>
          <w:sz w:val="24"/>
          <w:szCs w:val="24"/>
        </w:rPr>
      </w:pPr>
      <w:r w:rsidRPr="00CE6165">
        <w:rPr>
          <w:rFonts w:asciiTheme="majorBidi" w:hAnsiTheme="majorBidi" w:cstheme="majorBidi"/>
          <w:sz w:val="24"/>
          <w:szCs w:val="24"/>
        </w:rPr>
        <w:t xml:space="preserve">First, descriptive and statistical indexes of two groups in dependent research variables in pretest and post-test stages are given in Table 2. </w:t>
      </w:r>
    </w:p>
    <w:p w:rsidR="00185091" w:rsidRPr="00CE6165" w:rsidRDefault="00185091" w:rsidP="005337FF">
      <w:pPr>
        <w:spacing w:line="240" w:lineRule="auto"/>
        <w:rPr>
          <w:rFonts w:asciiTheme="majorBidi" w:hAnsiTheme="majorBidi" w:cstheme="majorBidi"/>
          <w:sz w:val="20"/>
        </w:rPr>
      </w:pPr>
      <w:r w:rsidRPr="00CE6165">
        <w:rPr>
          <w:rFonts w:asciiTheme="majorBidi" w:hAnsiTheme="majorBidi" w:cstheme="majorBidi"/>
          <w:b/>
          <w:bCs/>
          <w:szCs w:val="22"/>
        </w:rPr>
        <w:t>Table 2</w:t>
      </w:r>
      <w:r w:rsidRPr="00CE6165">
        <w:rPr>
          <w:rFonts w:asciiTheme="majorBidi" w:hAnsiTheme="majorBidi" w:cstheme="majorBidi"/>
          <w:b/>
          <w:bCs/>
          <w:sz w:val="20"/>
        </w:rPr>
        <w:t>:</w:t>
      </w:r>
      <w:r w:rsidRPr="00CE6165">
        <w:rPr>
          <w:rFonts w:asciiTheme="majorBidi" w:hAnsiTheme="majorBidi" w:cstheme="majorBidi"/>
          <w:sz w:val="20"/>
        </w:rPr>
        <w:t xml:space="preserve"> Mean</w:t>
      </w:r>
      <w:r w:rsidR="005337FF" w:rsidRPr="00CE6165">
        <w:rPr>
          <w:rFonts w:asciiTheme="majorBidi" w:hAnsiTheme="majorBidi" w:cstheme="majorBidi"/>
          <w:sz w:val="20"/>
        </w:rPr>
        <w:t>s</w:t>
      </w:r>
      <w:r w:rsidRPr="00CE6165">
        <w:rPr>
          <w:rFonts w:asciiTheme="majorBidi" w:hAnsiTheme="majorBidi" w:cstheme="majorBidi"/>
          <w:sz w:val="20"/>
        </w:rPr>
        <w:t xml:space="preserve"> (standard deviations) of the groups </w:t>
      </w:r>
      <w:r w:rsidR="005337FF" w:rsidRPr="00CE6165">
        <w:rPr>
          <w:rFonts w:asciiTheme="majorBidi" w:hAnsiTheme="majorBidi" w:cstheme="majorBidi"/>
          <w:sz w:val="20"/>
        </w:rPr>
        <w:t>in</w:t>
      </w:r>
      <w:r w:rsidRPr="00CE6165">
        <w:rPr>
          <w:rFonts w:asciiTheme="majorBidi" w:hAnsiTheme="majorBidi" w:cstheme="majorBidi"/>
          <w:sz w:val="20"/>
        </w:rPr>
        <w:t xml:space="preserve"> pre-</w:t>
      </w:r>
      <w:r w:rsidR="005337FF" w:rsidRPr="00CE6165">
        <w:rPr>
          <w:rFonts w:asciiTheme="majorBidi" w:hAnsiTheme="majorBidi" w:cstheme="majorBidi"/>
          <w:sz w:val="20"/>
        </w:rPr>
        <w:t xml:space="preserve"> and post-treatment assessments</w:t>
      </w:r>
    </w:p>
    <w:tbl>
      <w:tblPr>
        <w:tblStyle w:val="TableGrid1"/>
        <w:tblW w:w="0" w:type="auto"/>
        <w:tblInd w:w="10" w:type="dxa"/>
        <w:tblLook w:val="04A0" w:firstRow="1" w:lastRow="0" w:firstColumn="1" w:lastColumn="0" w:noHBand="0" w:noVBand="1"/>
      </w:tblPr>
      <w:tblGrid>
        <w:gridCol w:w="2097"/>
        <w:gridCol w:w="442"/>
        <w:gridCol w:w="1707"/>
        <w:gridCol w:w="952"/>
        <w:gridCol w:w="2188"/>
        <w:gridCol w:w="117"/>
        <w:gridCol w:w="119"/>
      </w:tblGrid>
      <w:tr w:rsidR="00185091" w:rsidRPr="00CE6165" w:rsidTr="007E387D">
        <w:trPr>
          <w:trHeight w:val="294"/>
        </w:trPr>
        <w:tc>
          <w:tcPr>
            <w:tcW w:w="2097" w:type="dxa"/>
            <w:vMerge w:val="restart"/>
            <w:tcBorders>
              <w:left w:val="nil"/>
              <w:right w:val="nil"/>
            </w:tcBorders>
            <w:vAlign w:val="center"/>
          </w:tcPr>
          <w:p w:rsidR="00185091" w:rsidRPr="00CE6165" w:rsidRDefault="00185091" w:rsidP="00D512DA">
            <w:pPr>
              <w:rPr>
                <w:rFonts w:asciiTheme="majorBidi" w:hAnsiTheme="majorBidi" w:cstheme="majorBidi"/>
                <w:b/>
                <w:bCs/>
                <w:sz w:val="24"/>
                <w:szCs w:val="24"/>
              </w:rPr>
            </w:pPr>
            <w:r w:rsidRPr="00CE6165">
              <w:rPr>
                <w:rFonts w:asciiTheme="majorBidi" w:hAnsiTheme="majorBidi" w:cstheme="majorBidi"/>
                <w:b/>
                <w:bCs/>
                <w:szCs w:val="22"/>
              </w:rPr>
              <w:t>Measures</w:t>
            </w:r>
            <w:r w:rsidRPr="00CE6165">
              <w:rPr>
                <w:rFonts w:asciiTheme="majorBidi" w:hAnsiTheme="majorBidi" w:cstheme="majorBidi"/>
                <w:b/>
                <w:bCs/>
                <w:sz w:val="20"/>
              </w:rPr>
              <w:t xml:space="preserve"> </w:t>
            </w:r>
            <w:r w:rsidRPr="00CE6165">
              <w:rPr>
                <w:rFonts w:asciiTheme="majorBidi" w:hAnsiTheme="majorBidi" w:cstheme="majorBidi"/>
                <w:b/>
                <w:bCs/>
              </w:rPr>
              <w:t xml:space="preserve">                                              </w:t>
            </w:r>
          </w:p>
        </w:tc>
        <w:tc>
          <w:tcPr>
            <w:tcW w:w="5289" w:type="dxa"/>
            <w:gridSpan w:val="4"/>
            <w:tcBorders>
              <w:left w:val="nil"/>
              <w:right w:val="nil"/>
            </w:tcBorders>
            <w:vAlign w:val="center"/>
          </w:tcPr>
          <w:p w:rsidR="00185091" w:rsidRPr="00CE6165" w:rsidRDefault="00185091" w:rsidP="00D512DA">
            <w:pPr>
              <w:jc w:val="center"/>
              <w:rPr>
                <w:rFonts w:asciiTheme="majorBidi" w:hAnsiTheme="majorBidi" w:cstheme="majorBidi"/>
                <w:b/>
                <w:bCs/>
              </w:rPr>
            </w:pPr>
            <w:r w:rsidRPr="00CE6165">
              <w:rPr>
                <w:rFonts w:asciiTheme="majorBidi" w:hAnsiTheme="majorBidi" w:cstheme="majorBidi"/>
                <w:b/>
                <w:bCs/>
              </w:rPr>
              <w:t>Experimental group</w:t>
            </w:r>
            <w:r w:rsidR="00832CD1" w:rsidRPr="00CE6165">
              <w:rPr>
                <w:rFonts w:asciiTheme="majorBidi" w:hAnsiTheme="majorBidi" w:cstheme="majorBidi"/>
                <w:b/>
                <w:bCs/>
              </w:rPr>
              <w:t>s</w:t>
            </w:r>
          </w:p>
          <w:p w:rsidR="00185091" w:rsidRPr="00CE6165" w:rsidRDefault="00185091" w:rsidP="00D512DA">
            <w:pPr>
              <w:rPr>
                <w:rFonts w:asciiTheme="majorBidi" w:hAnsiTheme="majorBidi" w:cstheme="majorBidi"/>
              </w:rPr>
            </w:pPr>
          </w:p>
        </w:tc>
        <w:tc>
          <w:tcPr>
            <w:tcW w:w="236" w:type="dxa"/>
            <w:gridSpan w:val="2"/>
            <w:vMerge w:val="restart"/>
            <w:tcBorders>
              <w:left w:val="nil"/>
              <w:right w:val="nil"/>
            </w:tcBorders>
            <w:vAlign w:val="center"/>
          </w:tcPr>
          <w:p w:rsidR="00185091" w:rsidRPr="00CE6165" w:rsidRDefault="00185091" w:rsidP="00D512DA">
            <w:pPr>
              <w:rPr>
                <w:rFonts w:asciiTheme="majorBidi" w:hAnsiTheme="majorBidi" w:cstheme="majorBidi"/>
              </w:rPr>
            </w:pPr>
          </w:p>
          <w:p w:rsidR="00185091" w:rsidRPr="00CE6165" w:rsidRDefault="00185091" w:rsidP="00D512DA">
            <w:pPr>
              <w:jc w:val="center"/>
              <w:rPr>
                <w:rFonts w:asciiTheme="majorBidi" w:hAnsiTheme="majorBidi" w:cstheme="majorBidi"/>
              </w:rPr>
            </w:pPr>
          </w:p>
        </w:tc>
      </w:tr>
      <w:tr w:rsidR="00185091" w:rsidRPr="00CE6165" w:rsidTr="007E387D">
        <w:trPr>
          <w:trHeight w:val="160"/>
        </w:trPr>
        <w:tc>
          <w:tcPr>
            <w:tcW w:w="2097" w:type="dxa"/>
            <w:vMerge/>
            <w:tcBorders>
              <w:left w:val="nil"/>
              <w:right w:val="nil"/>
            </w:tcBorders>
          </w:tcPr>
          <w:p w:rsidR="00185091" w:rsidRPr="00CE6165" w:rsidRDefault="00185091" w:rsidP="00D512DA">
            <w:pPr>
              <w:rPr>
                <w:rFonts w:asciiTheme="majorBidi" w:hAnsiTheme="majorBidi" w:cstheme="majorBidi"/>
                <w:sz w:val="24"/>
                <w:szCs w:val="24"/>
              </w:rPr>
            </w:pPr>
          </w:p>
        </w:tc>
        <w:tc>
          <w:tcPr>
            <w:tcW w:w="442" w:type="dxa"/>
            <w:vMerge w:val="restart"/>
            <w:tcBorders>
              <w:left w:val="nil"/>
              <w:right w:val="nil"/>
            </w:tcBorders>
            <w:vAlign w:val="center"/>
          </w:tcPr>
          <w:p w:rsidR="00185091" w:rsidRPr="00CE6165" w:rsidRDefault="00185091" w:rsidP="00D512DA">
            <w:pPr>
              <w:jc w:val="center"/>
              <w:rPr>
                <w:rFonts w:asciiTheme="majorBidi" w:hAnsiTheme="majorBidi" w:cstheme="majorBidi"/>
                <w:sz w:val="24"/>
                <w:szCs w:val="24"/>
              </w:rPr>
            </w:pPr>
          </w:p>
        </w:tc>
        <w:tc>
          <w:tcPr>
            <w:tcW w:w="1707" w:type="dxa"/>
            <w:tcBorders>
              <w:left w:val="nil"/>
              <w:bottom w:val="single" w:sz="12" w:space="0" w:color="auto"/>
              <w:right w:val="nil"/>
            </w:tcBorders>
            <w:vAlign w:val="center"/>
          </w:tcPr>
          <w:p w:rsidR="00185091" w:rsidRPr="00CE6165" w:rsidRDefault="00185091" w:rsidP="007E387D">
            <w:pPr>
              <w:jc w:val="center"/>
              <w:rPr>
                <w:rFonts w:asciiTheme="majorBidi" w:hAnsiTheme="majorBidi" w:cstheme="majorBidi"/>
                <w:sz w:val="24"/>
                <w:szCs w:val="24"/>
              </w:rPr>
            </w:pPr>
            <w:r w:rsidRPr="00CE6165">
              <w:rPr>
                <w:rFonts w:asciiTheme="majorBidi" w:hAnsiTheme="majorBidi" w:cstheme="majorBidi"/>
                <w:szCs w:val="22"/>
              </w:rPr>
              <w:t>CBT-IU</w:t>
            </w:r>
            <w:r w:rsidR="00832CD1" w:rsidRPr="00CE6165">
              <w:rPr>
                <w:rFonts w:asciiTheme="majorBidi" w:hAnsiTheme="majorBidi" w:cstheme="majorBidi"/>
                <w:szCs w:val="22"/>
              </w:rPr>
              <w:t xml:space="preserve"> </w:t>
            </w:r>
            <w:r w:rsidR="00E71F98" w:rsidRPr="00CE6165">
              <w:rPr>
                <w:rFonts w:asciiTheme="majorBidi" w:hAnsiTheme="majorBidi" w:cstheme="majorBidi"/>
                <w:szCs w:val="22"/>
              </w:rPr>
              <w:t>(n=12)</w:t>
            </w:r>
          </w:p>
        </w:tc>
        <w:tc>
          <w:tcPr>
            <w:tcW w:w="952" w:type="dxa"/>
            <w:vMerge w:val="restart"/>
            <w:tcBorders>
              <w:left w:val="nil"/>
              <w:right w:val="nil"/>
            </w:tcBorders>
            <w:vAlign w:val="center"/>
          </w:tcPr>
          <w:p w:rsidR="00185091" w:rsidRPr="00CE6165" w:rsidRDefault="00185091" w:rsidP="00D512DA">
            <w:pPr>
              <w:jc w:val="center"/>
              <w:rPr>
                <w:rFonts w:asciiTheme="majorBidi" w:hAnsiTheme="majorBidi" w:cstheme="majorBidi"/>
                <w:sz w:val="24"/>
                <w:szCs w:val="24"/>
              </w:rPr>
            </w:pPr>
          </w:p>
        </w:tc>
        <w:tc>
          <w:tcPr>
            <w:tcW w:w="2188" w:type="dxa"/>
            <w:tcBorders>
              <w:left w:val="nil"/>
              <w:bottom w:val="single" w:sz="12" w:space="0" w:color="auto"/>
              <w:right w:val="nil"/>
            </w:tcBorders>
            <w:vAlign w:val="center"/>
          </w:tcPr>
          <w:p w:rsidR="00185091" w:rsidRPr="00CE6165" w:rsidRDefault="007E387D" w:rsidP="00832CD1">
            <w:pPr>
              <w:rPr>
                <w:rFonts w:asciiTheme="majorBidi" w:hAnsiTheme="majorBidi" w:cstheme="majorBidi"/>
                <w:sz w:val="24"/>
                <w:szCs w:val="24"/>
              </w:rPr>
            </w:pPr>
            <w:r w:rsidRPr="00CE6165">
              <w:rPr>
                <w:rFonts w:asciiTheme="majorBidi" w:hAnsiTheme="majorBidi" w:cstheme="majorBidi"/>
                <w:szCs w:val="22"/>
              </w:rPr>
              <w:t xml:space="preserve">      </w:t>
            </w:r>
            <w:r w:rsidR="00185091" w:rsidRPr="00CE6165">
              <w:rPr>
                <w:rFonts w:asciiTheme="majorBidi" w:hAnsiTheme="majorBidi" w:cstheme="majorBidi"/>
                <w:szCs w:val="22"/>
              </w:rPr>
              <w:t>D</w:t>
            </w:r>
            <w:r w:rsidR="00832CD1" w:rsidRPr="00CE6165">
              <w:rPr>
                <w:rFonts w:asciiTheme="majorBidi" w:hAnsiTheme="majorBidi" w:cstheme="majorBidi"/>
                <w:szCs w:val="22"/>
              </w:rPr>
              <w:t>rug</w:t>
            </w:r>
            <w:r w:rsidR="00E71F98" w:rsidRPr="00CE6165">
              <w:rPr>
                <w:rFonts w:asciiTheme="majorBidi" w:hAnsiTheme="majorBidi" w:cstheme="majorBidi"/>
                <w:szCs w:val="22"/>
              </w:rPr>
              <w:t xml:space="preserve">  (n=12)</w:t>
            </w:r>
          </w:p>
        </w:tc>
        <w:tc>
          <w:tcPr>
            <w:tcW w:w="236" w:type="dxa"/>
            <w:gridSpan w:val="2"/>
            <w:vMerge/>
            <w:tcBorders>
              <w:left w:val="nil"/>
              <w:right w:val="nil"/>
            </w:tcBorders>
            <w:vAlign w:val="center"/>
          </w:tcPr>
          <w:p w:rsidR="00185091" w:rsidRPr="00CE6165" w:rsidRDefault="00185091" w:rsidP="00D512DA">
            <w:pPr>
              <w:jc w:val="center"/>
              <w:rPr>
                <w:rFonts w:asciiTheme="majorBidi" w:hAnsiTheme="majorBidi" w:cstheme="majorBidi"/>
                <w:sz w:val="24"/>
                <w:szCs w:val="24"/>
              </w:rPr>
            </w:pPr>
          </w:p>
        </w:tc>
      </w:tr>
      <w:tr w:rsidR="00185091" w:rsidRPr="00CE6165" w:rsidTr="007E387D">
        <w:trPr>
          <w:trHeight w:val="317"/>
        </w:trPr>
        <w:tc>
          <w:tcPr>
            <w:tcW w:w="2097" w:type="dxa"/>
            <w:vMerge/>
            <w:tcBorders>
              <w:left w:val="nil"/>
              <w:right w:val="nil"/>
            </w:tcBorders>
          </w:tcPr>
          <w:p w:rsidR="00185091" w:rsidRPr="00CE6165" w:rsidRDefault="00185091" w:rsidP="00D512DA">
            <w:pPr>
              <w:rPr>
                <w:rFonts w:asciiTheme="majorBidi" w:hAnsiTheme="majorBidi" w:cstheme="majorBidi"/>
                <w:sz w:val="24"/>
                <w:szCs w:val="24"/>
              </w:rPr>
            </w:pPr>
          </w:p>
        </w:tc>
        <w:tc>
          <w:tcPr>
            <w:tcW w:w="442" w:type="dxa"/>
            <w:vMerge/>
            <w:tcBorders>
              <w:left w:val="nil"/>
              <w:right w:val="nil"/>
            </w:tcBorders>
            <w:vAlign w:val="center"/>
          </w:tcPr>
          <w:p w:rsidR="00185091" w:rsidRPr="00CE6165" w:rsidRDefault="00185091" w:rsidP="00D512DA">
            <w:pPr>
              <w:jc w:val="center"/>
              <w:rPr>
                <w:rFonts w:asciiTheme="majorBidi" w:hAnsiTheme="majorBidi" w:cstheme="majorBidi"/>
                <w:sz w:val="24"/>
                <w:szCs w:val="24"/>
              </w:rPr>
            </w:pPr>
          </w:p>
        </w:tc>
        <w:tc>
          <w:tcPr>
            <w:tcW w:w="1707" w:type="dxa"/>
            <w:tcBorders>
              <w:top w:val="single" w:sz="12" w:space="0" w:color="auto"/>
              <w:left w:val="nil"/>
              <w:right w:val="nil"/>
            </w:tcBorders>
            <w:vAlign w:val="center"/>
          </w:tcPr>
          <w:p w:rsidR="00185091" w:rsidRPr="00CE6165" w:rsidRDefault="00185091" w:rsidP="007E387D">
            <w:pPr>
              <w:jc w:val="center"/>
              <w:rPr>
                <w:rFonts w:asciiTheme="majorBidi" w:hAnsiTheme="majorBidi" w:cstheme="majorBidi"/>
                <w:sz w:val="24"/>
                <w:szCs w:val="24"/>
              </w:rPr>
            </w:pPr>
            <w:r w:rsidRPr="00CE6165">
              <w:rPr>
                <w:rFonts w:asciiTheme="majorBidi" w:hAnsiTheme="majorBidi" w:cstheme="majorBidi"/>
                <w:szCs w:val="22"/>
              </w:rPr>
              <w:t>M (SD)</w:t>
            </w:r>
          </w:p>
        </w:tc>
        <w:tc>
          <w:tcPr>
            <w:tcW w:w="952" w:type="dxa"/>
            <w:vMerge/>
            <w:tcBorders>
              <w:left w:val="nil"/>
              <w:right w:val="nil"/>
            </w:tcBorders>
            <w:vAlign w:val="center"/>
          </w:tcPr>
          <w:p w:rsidR="00185091" w:rsidRPr="00CE6165" w:rsidRDefault="00185091" w:rsidP="00D512DA">
            <w:pPr>
              <w:jc w:val="center"/>
              <w:rPr>
                <w:rFonts w:asciiTheme="majorBidi" w:hAnsiTheme="majorBidi" w:cstheme="majorBidi"/>
                <w:sz w:val="24"/>
                <w:szCs w:val="24"/>
              </w:rPr>
            </w:pPr>
          </w:p>
        </w:tc>
        <w:tc>
          <w:tcPr>
            <w:tcW w:w="2188" w:type="dxa"/>
            <w:tcBorders>
              <w:top w:val="single" w:sz="12" w:space="0" w:color="auto"/>
              <w:left w:val="nil"/>
              <w:right w:val="nil"/>
            </w:tcBorders>
            <w:vAlign w:val="center"/>
          </w:tcPr>
          <w:p w:rsidR="00185091" w:rsidRPr="00CE6165" w:rsidRDefault="00185091" w:rsidP="00D512DA">
            <w:pPr>
              <w:jc w:val="center"/>
              <w:rPr>
                <w:rFonts w:asciiTheme="majorBidi" w:hAnsiTheme="majorBidi" w:cstheme="majorBidi"/>
                <w:sz w:val="24"/>
                <w:szCs w:val="24"/>
              </w:rPr>
            </w:pPr>
            <w:r w:rsidRPr="00CE6165">
              <w:rPr>
                <w:rFonts w:asciiTheme="majorBidi" w:hAnsiTheme="majorBidi" w:cstheme="majorBidi"/>
                <w:szCs w:val="22"/>
              </w:rPr>
              <w:t>M</w:t>
            </w:r>
            <w:r w:rsidR="00832CD1" w:rsidRPr="00CE6165">
              <w:rPr>
                <w:rFonts w:asciiTheme="majorBidi" w:hAnsiTheme="majorBidi" w:cstheme="majorBidi"/>
                <w:szCs w:val="22"/>
              </w:rPr>
              <w:t xml:space="preserve"> </w:t>
            </w:r>
            <w:r w:rsidRPr="00CE6165">
              <w:rPr>
                <w:rFonts w:asciiTheme="majorBidi" w:hAnsiTheme="majorBidi" w:cstheme="majorBidi"/>
                <w:szCs w:val="22"/>
              </w:rPr>
              <w:t>(SD)</w:t>
            </w:r>
          </w:p>
        </w:tc>
        <w:tc>
          <w:tcPr>
            <w:tcW w:w="236" w:type="dxa"/>
            <w:gridSpan w:val="2"/>
            <w:vMerge/>
            <w:tcBorders>
              <w:left w:val="nil"/>
              <w:right w:val="nil"/>
            </w:tcBorders>
            <w:vAlign w:val="center"/>
          </w:tcPr>
          <w:p w:rsidR="00185091" w:rsidRPr="00CE6165" w:rsidRDefault="00185091" w:rsidP="00D512DA">
            <w:pPr>
              <w:jc w:val="center"/>
              <w:rPr>
                <w:rFonts w:asciiTheme="majorBidi" w:hAnsiTheme="majorBidi" w:cstheme="majorBidi"/>
                <w:sz w:val="24"/>
                <w:szCs w:val="24"/>
              </w:rPr>
            </w:pPr>
          </w:p>
        </w:tc>
      </w:tr>
      <w:tr w:rsidR="00185091" w:rsidRPr="00CE6165" w:rsidTr="007E387D">
        <w:trPr>
          <w:gridAfter w:val="1"/>
          <w:wAfter w:w="119" w:type="dxa"/>
          <w:trHeight w:val="750"/>
        </w:trPr>
        <w:tc>
          <w:tcPr>
            <w:tcW w:w="7503" w:type="dxa"/>
            <w:gridSpan w:val="6"/>
            <w:tcBorders>
              <w:left w:val="nil"/>
              <w:right w:val="nil"/>
            </w:tcBorders>
          </w:tcPr>
          <w:p w:rsidR="00185091" w:rsidRPr="00CE6165" w:rsidRDefault="00185091" w:rsidP="00D512DA">
            <w:pPr>
              <w:rPr>
                <w:rFonts w:asciiTheme="majorBidi" w:hAnsiTheme="majorBidi" w:cstheme="majorBidi"/>
                <w:b/>
                <w:bCs/>
              </w:rPr>
            </w:pPr>
            <w:r w:rsidRPr="00CE6165">
              <w:rPr>
                <w:rFonts w:asciiTheme="majorBidi" w:hAnsiTheme="majorBidi" w:cstheme="majorBidi"/>
                <w:b/>
                <w:bCs/>
              </w:rPr>
              <w:t>PSWQ</w:t>
            </w:r>
          </w:p>
          <w:p w:rsidR="00185091" w:rsidRPr="00CE6165" w:rsidRDefault="00185091" w:rsidP="00D512DA">
            <w:pPr>
              <w:rPr>
                <w:rFonts w:asciiTheme="majorBidi" w:hAnsiTheme="majorBidi" w:cstheme="majorBidi"/>
              </w:rPr>
            </w:pPr>
            <w:r w:rsidRPr="00CE6165">
              <w:rPr>
                <w:rFonts w:asciiTheme="majorBidi" w:hAnsiTheme="majorBidi" w:cstheme="majorBidi"/>
              </w:rPr>
              <w:t xml:space="preserve"> Pretreatment                       66.16 (6.99)    </w:t>
            </w:r>
            <w:r w:rsidRPr="00CE6165">
              <w:rPr>
                <w:rFonts w:asciiTheme="majorBidi" w:hAnsiTheme="majorBidi" w:cstheme="majorBidi" w:hint="cs"/>
                <w:rtl/>
              </w:rPr>
              <w:t xml:space="preserve">                </w:t>
            </w:r>
            <w:r w:rsidRPr="00CE6165">
              <w:rPr>
                <w:rFonts w:asciiTheme="majorBidi" w:hAnsiTheme="majorBidi" w:cstheme="majorBidi"/>
              </w:rPr>
              <w:t xml:space="preserve">                  69.33 (9.58)</w:t>
            </w:r>
          </w:p>
          <w:p w:rsidR="00185091" w:rsidRPr="00CE6165" w:rsidRDefault="00185091" w:rsidP="00D512DA">
            <w:pPr>
              <w:rPr>
                <w:rFonts w:asciiTheme="majorBidi" w:hAnsiTheme="majorBidi" w:cstheme="majorBidi"/>
              </w:rPr>
            </w:pPr>
            <w:r w:rsidRPr="00CE6165">
              <w:rPr>
                <w:rFonts w:asciiTheme="majorBidi" w:hAnsiTheme="majorBidi" w:cstheme="majorBidi"/>
              </w:rPr>
              <w:t xml:space="preserve"> Post-treatment                    42.75 (10.40)                                   61.75 (10.28)</w:t>
            </w:r>
          </w:p>
        </w:tc>
      </w:tr>
      <w:tr w:rsidR="007E387D" w:rsidRPr="00CE6165" w:rsidTr="007E387D">
        <w:trPr>
          <w:gridAfter w:val="1"/>
          <w:wAfter w:w="119" w:type="dxa"/>
          <w:trHeight w:val="70"/>
        </w:trPr>
        <w:tc>
          <w:tcPr>
            <w:tcW w:w="7503" w:type="dxa"/>
            <w:gridSpan w:val="6"/>
            <w:tcBorders>
              <w:left w:val="nil"/>
              <w:right w:val="nil"/>
            </w:tcBorders>
          </w:tcPr>
          <w:p w:rsidR="007E387D" w:rsidRPr="00CE6165" w:rsidRDefault="007E387D" w:rsidP="007E387D">
            <w:pPr>
              <w:rPr>
                <w:rFonts w:asciiTheme="majorBidi" w:hAnsiTheme="majorBidi" w:cstheme="majorBidi"/>
                <w:b/>
                <w:bCs/>
              </w:rPr>
            </w:pPr>
            <w:r w:rsidRPr="00CE6165">
              <w:rPr>
                <w:rFonts w:asciiTheme="majorBidi" w:hAnsiTheme="majorBidi" w:cstheme="majorBidi"/>
                <w:b/>
                <w:bCs/>
              </w:rPr>
              <w:t>WW-II</w:t>
            </w:r>
          </w:p>
          <w:p w:rsidR="007E387D" w:rsidRPr="00CE6165" w:rsidRDefault="007E387D" w:rsidP="007E387D">
            <w:pPr>
              <w:rPr>
                <w:rFonts w:asciiTheme="majorBidi" w:hAnsiTheme="majorBidi" w:cstheme="majorBidi"/>
              </w:rPr>
            </w:pPr>
            <w:r w:rsidRPr="00CE6165">
              <w:rPr>
                <w:rFonts w:asciiTheme="majorBidi" w:hAnsiTheme="majorBidi" w:cstheme="majorBidi"/>
              </w:rPr>
              <w:t xml:space="preserve">  Pretreatment                      71.08 (12.34)                                   58.33 (17.67)</w:t>
            </w:r>
          </w:p>
          <w:p w:rsidR="007E387D" w:rsidRPr="00CE6165" w:rsidRDefault="007E387D" w:rsidP="007E387D">
            <w:pPr>
              <w:rPr>
                <w:rFonts w:asciiTheme="majorBidi" w:hAnsiTheme="majorBidi" w:cstheme="majorBidi"/>
              </w:rPr>
            </w:pPr>
            <w:r w:rsidRPr="00CE6165">
              <w:rPr>
                <w:rFonts w:asciiTheme="majorBidi" w:hAnsiTheme="majorBidi" w:cstheme="majorBidi"/>
              </w:rPr>
              <w:t xml:space="preserve"> Post-treatment                    46.16 (10.48)                                   58.50  (24.52)</w:t>
            </w:r>
          </w:p>
          <w:p w:rsidR="007E387D" w:rsidRPr="00CE6165" w:rsidRDefault="007E387D" w:rsidP="007E387D">
            <w:pPr>
              <w:rPr>
                <w:rFonts w:asciiTheme="majorBidi" w:hAnsiTheme="majorBidi" w:cstheme="majorBidi"/>
                <w:b/>
                <w:bCs/>
              </w:rPr>
            </w:pPr>
            <w:r w:rsidRPr="00CE6165">
              <w:rPr>
                <w:rFonts w:asciiTheme="majorBidi" w:hAnsiTheme="majorBidi" w:cstheme="majorBidi"/>
                <w:b/>
                <w:bCs/>
              </w:rPr>
              <w:t>NPOQ</w:t>
            </w:r>
          </w:p>
        </w:tc>
      </w:tr>
      <w:tr w:rsidR="007E387D" w:rsidRPr="00CE6165" w:rsidTr="007E387D">
        <w:trPr>
          <w:gridAfter w:val="1"/>
          <w:wAfter w:w="119" w:type="dxa"/>
          <w:trHeight w:val="557"/>
        </w:trPr>
        <w:tc>
          <w:tcPr>
            <w:tcW w:w="7503" w:type="dxa"/>
            <w:gridSpan w:val="6"/>
            <w:tcBorders>
              <w:left w:val="nil"/>
              <w:right w:val="nil"/>
            </w:tcBorders>
          </w:tcPr>
          <w:p w:rsidR="007E387D" w:rsidRPr="00CE6165" w:rsidRDefault="007E387D" w:rsidP="007E387D">
            <w:pPr>
              <w:rPr>
                <w:rFonts w:asciiTheme="majorBidi" w:hAnsiTheme="majorBidi" w:cstheme="majorBidi"/>
              </w:rPr>
            </w:pPr>
            <w:r w:rsidRPr="00CE6165">
              <w:rPr>
                <w:rFonts w:asciiTheme="majorBidi" w:hAnsiTheme="majorBidi" w:cstheme="majorBidi"/>
              </w:rPr>
              <w:t xml:space="preserve"> Pretreatment                       44.66 (7.67)                                     48.25 (7.59)</w:t>
            </w:r>
          </w:p>
          <w:p w:rsidR="007E387D" w:rsidRPr="00CE6165" w:rsidRDefault="007E387D" w:rsidP="007E387D">
            <w:pPr>
              <w:rPr>
                <w:rFonts w:asciiTheme="majorBidi" w:hAnsiTheme="majorBidi" w:cstheme="majorBidi"/>
                <w:b/>
                <w:bCs/>
              </w:rPr>
            </w:pPr>
            <w:r w:rsidRPr="00CE6165">
              <w:rPr>
                <w:rFonts w:asciiTheme="majorBidi" w:hAnsiTheme="majorBidi" w:cstheme="majorBidi"/>
              </w:rPr>
              <w:t xml:space="preserve"> Post-treatment                    27.08 (10.81)                                   42.00 (10.35)</w:t>
            </w:r>
          </w:p>
        </w:tc>
      </w:tr>
    </w:tbl>
    <w:p w:rsidR="00185091" w:rsidRPr="00CE6165" w:rsidRDefault="00185091" w:rsidP="00AC6DC8">
      <w:pPr>
        <w:spacing w:line="240" w:lineRule="auto"/>
        <w:rPr>
          <w:rFonts w:asciiTheme="majorBidi" w:hAnsiTheme="majorBidi" w:cstheme="majorBidi"/>
          <w:sz w:val="20"/>
        </w:rPr>
      </w:pPr>
      <w:r w:rsidRPr="00CE6165">
        <w:rPr>
          <w:rFonts w:asciiTheme="majorBidi" w:hAnsiTheme="majorBidi" w:cstheme="majorBidi"/>
          <w:szCs w:val="22"/>
        </w:rPr>
        <w:t xml:space="preserve">Notes: </w:t>
      </w:r>
      <w:r w:rsidRPr="00CE6165">
        <w:rPr>
          <w:rFonts w:asciiTheme="majorBidi" w:hAnsiTheme="majorBidi" w:cstheme="majorBidi"/>
          <w:sz w:val="20"/>
        </w:rPr>
        <w:t>CBT-IU=</w:t>
      </w:r>
      <w:r w:rsidRPr="00CE6165">
        <w:rPr>
          <w:rFonts w:asciiTheme="majorBidi" w:hAnsiTheme="majorBidi" w:cstheme="majorBidi"/>
          <w:szCs w:val="22"/>
        </w:rPr>
        <w:t xml:space="preserve"> </w:t>
      </w:r>
      <w:r w:rsidR="005337FF" w:rsidRPr="00CE6165">
        <w:rPr>
          <w:rFonts w:asciiTheme="majorBidi" w:hAnsiTheme="majorBidi" w:cstheme="majorBidi"/>
          <w:sz w:val="20"/>
        </w:rPr>
        <w:t>C</w:t>
      </w:r>
      <w:r w:rsidRPr="00CE6165">
        <w:rPr>
          <w:rFonts w:asciiTheme="majorBidi" w:hAnsiTheme="majorBidi" w:cstheme="majorBidi"/>
          <w:sz w:val="20"/>
        </w:rPr>
        <w:t xml:space="preserve">ognitive </w:t>
      </w:r>
      <w:r w:rsidRPr="00CE6165">
        <w:rPr>
          <w:rFonts w:asciiTheme="majorBidi" w:hAnsiTheme="majorBidi" w:cstheme="majorBidi"/>
          <w:b/>
          <w:sz w:val="20"/>
        </w:rPr>
        <w:t>-</w:t>
      </w:r>
      <w:r w:rsidRPr="00CE6165">
        <w:rPr>
          <w:rFonts w:asciiTheme="majorBidi" w:hAnsiTheme="majorBidi" w:cstheme="majorBidi"/>
          <w:sz w:val="20"/>
        </w:rPr>
        <w:t xml:space="preserve">Behavior Therapy </w:t>
      </w:r>
      <w:r w:rsidR="00AC6DC8" w:rsidRPr="00CE6165">
        <w:rPr>
          <w:rFonts w:asciiTheme="majorBidi" w:hAnsiTheme="majorBidi" w:cstheme="majorBidi"/>
          <w:sz w:val="20"/>
        </w:rPr>
        <w:t>focused on</w:t>
      </w:r>
      <w:r w:rsidRPr="00CE6165">
        <w:rPr>
          <w:rFonts w:asciiTheme="majorBidi" w:hAnsiTheme="majorBidi" w:cstheme="majorBidi"/>
          <w:sz w:val="20"/>
        </w:rPr>
        <w:t xml:space="preserve"> Intolerance of Uncertainty</w:t>
      </w:r>
      <w:r w:rsidRPr="00CE6165">
        <w:rPr>
          <w:rFonts w:asciiTheme="majorBidi" w:hAnsiTheme="majorBidi" w:cstheme="majorBidi" w:hint="cs"/>
          <w:sz w:val="20"/>
          <w:rtl/>
          <w:lang w:bidi="fa-IR"/>
        </w:rPr>
        <w:t>;</w:t>
      </w:r>
      <w:r w:rsidRPr="00CE6165">
        <w:rPr>
          <w:rFonts w:asciiTheme="majorBidi" w:hAnsiTheme="majorBidi" w:cstheme="majorBidi"/>
          <w:sz w:val="20"/>
          <w:lang w:bidi="fa-IR"/>
        </w:rPr>
        <w:t xml:space="preserve"> </w:t>
      </w:r>
      <w:r w:rsidRPr="00CE6165">
        <w:rPr>
          <w:rFonts w:asciiTheme="majorBidi" w:hAnsiTheme="majorBidi" w:cstheme="majorBidi"/>
          <w:sz w:val="20"/>
        </w:rPr>
        <w:t>PSWQ = Penn State Worry Questionnaire; WW-II= Why Worry-II; NPOQ</w:t>
      </w:r>
      <w:r w:rsidRPr="00CE6165">
        <w:rPr>
          <w:rFonts w:asciiTheme="majorBidi" w:hAnsiTheme="majorBidi" w:cstheme="majorBidi"/>
          <w:sz w:val="18"/>
          <w:szCs w:val="18"/>
        </w:rPr>
        <w:t>=</w:t>
      </w:r>
      <w:r w:rsidRPr="00CE6165">
        <w:rPr>
          <w:rFonts w:asciiTheme="majorBidi" w:hAnsiTheme="majorBidi" w:cstheme="majorBidi"/>
          <w:sz w:val="20"/>
        </w:rPr>
        <w:t xml:space="preserve"> Negative Problem Orientation Questionnaire</w:t>
      </w:r>
    </w:p>
    <w:p w:rsidR="00185091" w:rsidRPr="00CE6165" w:rsidRDefault="00185091" w:rsidP="00185091">
      <w:pPr>
        <w:spacing w:before="100" w:beforeAutospacing="1" w:after="100" w:afterAutospacing="1" w:line="240" w:lineRule="auto"/>
        <w:jc w:val="both"/>
        <w:rPr>
          <w:rFonts w:asciiTheme="majorBidi" w:hAnsiTheme="majorBidi" w:cstheme="majorBidi"/>
          <w:sz w:val="24"/>
          <w:szCs w:val="24"/>
        </w:rPr>
      </w:pPr>
      <w:r w:rsidRPr="00CE6165">
        <w:rPr>
          <w:rFonts w:asciiTheme="majorBidi" w:hAnsiTheme="majorBidi" w:cstheme="majorBidi"/>
          <w:sz w:val="24"/>
          <w:szCs w:val="24"/>
        </w:rPr>
        <w:t xml:space="preserve">Repeated measures analysis of variance was used for data analysis. Results of Leven's test for homogeneity of variances showed that its level was not significant in any of the dependent variables and hence the assumption of the homogeneity of variances was supported and it can be ensured that the scatter distribution of the two groups is the same P &gt; 0.05). The results of the M box test on equality of covariance matrix also showed that homogeneity assumption of variance-covariance matrix is established (Box’s M = 114.69, P = 0.425, F = 1.02). Therefore, the assumption of using variance analysis is observed. Also, results of </w:t>
      </w:r>
      <w:proofErr w:type="spellStart"/>
      <w:r w:rsidRPr="00CE6165">
        <w:rPr>
          <w:rFonts w:asciiTheme="majorBidi" w:hAnsiTheme="majorBidi" w:cstheme="majorBidi"/>
          <w:sz w:val="24"/>
          <w:szCs w:val="24"/>
        </w:rPr>
        <w:t>Mauchly's</w:t>
      </w:r>
      <w:proofErr w:type="spellEnd"/>
      <w:r w:rsidRPr="00CE6165">
        <w:rPr>
          <w:rFonts w:asciiTheme="majorBidi" w:hAnsiTheme="majorBidi" w:cstheme="majorBidi"/>
          <w:sz w:val="24"/>
          <w:szCs w:val="24"/>
        </w:rPr>
        <w:t xml:space="preserve"> Test of </w:t>
      </w:r>
      <w:proofErr w:type="spellStart"/>
      <w:r w:rsidRPr="00CE6165">
        <w:rPr>
          <w:rFonts w:asciiTheme="majorBidi" w:hAnsiTheme="majorBidi" w:cstheme="majorBidi"/>
          <w:sz w:val="24"/>
          <w:szCs w:val="24"/>
        </w:rPr>
        <w:t>Sphericity</w:t>
      </w:r>
      <w:proofErr w:type="spellEnd"/>
      <w:r w:rsidRPr="00CE6165">
        <w:rPr>
          <w:rFonts w:asciiTheme="majorBidi" w:hAnsiTheme="majorBidi" w:cstheme="majorBidi"/>
          <w:sz w:val="24"/>
          <w:szCs w:val="24"/>
        </w:rPr>
        <w:t xml:space="preserve"> does not rule out establishment of spherical conditions, as the multivariate statistics do not require </w:t>
      </w:r>
      <w:proofErr w:type="spellStart"/>
      <w:r w:rsidRPr="00CE6165">
        <w:rPr>
          <w:rFonts w:asciiTheme="majorBidi" w:hAnsiTheme="majorBidi" w:cstheme="majorBidi"/>
          <w:sz w:val="24"/>
          <w:szCs w:val="24"/>
        </w:rPr>
        <w:t>sphericity</w:t>
      </w:r>
      <w:proofErr w:type="spellEnd"/>
      <w:r w:rsidRPr="00CE6165">
        <w:rPr>
          <w:rFonts w:asciiTheme="majorBidi" w:hAnsiTheme="majorBidi" w:cstheme="majorBidi"/>
          <w:sz w:val="24"/>
          <w:szCs w:val="24"/>
        </w:rPr>
        <w:t xml:space="preserve">, and thus, with no </w:t>
      </w:r>
      <w:proofErr w:type="spellStart"/>
      <w:r w:rsidRPr="00CE6165">
        <w:rPr>
          <w:rFonts w:asciiTheme="majorBidi" w:hAnsiTheme="majorBidi" w:cstheme="majorBidi"/>
          <w:sz w:val="24"/>
          <w:szCs w:val="24"/>
        </w:rPr>
        <w:t>sphericity</w:t>
      </w:r>
      <w:proofErr w:type="spellEnd"/>
      <w:r w:rsidRPr="00CE6165">
        <w:rPr>
          <w:rFonts w:asciiTheme="majorBidi" w:hAnsiTheme="majorBidi" w:cstheme="majorBidi"/>
          <w:sz w:val="24"/>
          <w:szCs w:val="24"/>
        </w:rPr>
        <w:t xml:space="preserve"> assumption, Greenhouse-</w:t>
      </w:r>
      <w:proofErr w:type="spellStart"/>
      <w:r w:rsidRPr="00CE6165">
        <w:rPr>
          <w:rFonts w:asciiTheme="majorBidi" w:hAnsiTheme="majorBidi" w:cstheme="majorBidi"/>
          <w:sz w:val="24"/>
          <w:szCs w:val="24"/>
        </w:rPr>
        <w:t>Geisser</w:t>
      </w:r>
      <w:proofErr w:type="spellEnd"/>
      <w:r w:rsidRPr="00CE6165">
        <w:rPr>
          <w:rFonts w:asciiTheme="majorBidi" w:hAnsiTheme="majorBidi" w:cstheme="majorBidi"/>
          <w:sz w:val="24"/>
          <w:szCs w:val="24"/>
        </w:rPr>
        <w:t xml:space="preserve"> correction test was used to test score of symptoms (worry, positive beliefs about worry and negative problem orientation) in 2 times measurement and to measure effects of inter-subjects.</w:t>
      </w:r>
    </w:p>
    <w:p w:rsidR="00185091" w:rsidRPr="00CE6165" w:rsidRDefault="00185091" w:rsidP="00185091">
      <w:pPr>
        <w:rPr>
          <w:rFonts w:asciiTheme="majorBidi" w:hAnsiTheme="majorBidi" w:cstheme="majorBidi"/>
          <w:sz w:val="20"/>
        </w:rPr>
      </w:pPr>
      <w:r w:rsidRPr="00CE6165">
        <w:rPr>
          <w:rFonts w:asciiTheme="majorBidi" w:hAnsiTheme="majorBidi" w:cstheme="majorBidi"/>
          <w:b/>
          <w:bCs/>
          <w:sz w:val="20"/>
        </w:rPr>
        <w:lastRenderedPageBreak/>
        <w:t>Table 3.</w:t>
      </w:r>
      <w:r w:rsidRPr="00CE6165">
        <w:rPr>
          <w:rFonts w:asciiTheme="majorBidi" w:hAnsiTheme="majorBidi" w:cstheme="majorBidi"/>
          <w:sz w:val="20"/>
        </w:rPr>
        <w:t xml:space="preserve"> The results of repeated measure ANOVA between groups for comparing the pre-test and post-test scores in two treatment groups</w:t>
      </w:r>
    </w:p>
    <w:tbl>
      <w:tblPr>
        <w:tblStyle w:val="PlainTable2"/>
        <w:tblW w:w="0" w:type="auto"/>
        <w:tblLook w:val="04A0" w:firstRow="1" w:lastRow="0" w:firstColumn="1" w:lastColumn="0" w:noHBand="0" w:noVBand="1"/>
      </w:tblPr>
      <w:tblGrid>
        <w:gridCol w:w="1202"/>
        <w:gridCol w:w="916"/>
        <w:gridCol w:w="6951"/>
        <w:gridCol w:w="266"/>
      </w:tblGrid>
      <w:tr w:rsidR="00185091" w:rsidRPr="00CE6165" w:rsidTr="00474A6B">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9335" w:type="dxa"/>
            <w:gridSpan w:val="4"/>
          </w:tcPr>
          <w:p w:rsidR="00185091" w:rsidRPr="00CE6165" w:rsidRDefault="005337FF" w:rsidP="00474A6B">
            <w:pPr>
              <w:rPr>
                <w:rFonts w:asciiTheme="majorBidi" w:hAnsiTheme="majorBidi" w:cstheme="majorBidi"/>
                <w:sz w:val="20"/>
              </w:rPr>
            </w:pPr>
            <w:r w:rsidRPr="00CE6165">
              <w:rPr>
                <w:rFonts w:asciiTheme="majorBidi" w:hAnsiTheme="majorBidi" w:cstheme="majorBidi"/>
                <w:sz w:val="20"/>
              </w:rPr>
              <w:t xml:space="preserve">Measures                </w:t>
            </w:r>
            <w:r w:rsidR="00474A6B" w:rsidRPr="00CE6165">
              <w:rPr>
                <w:rFonts w:asciiTheme="majorBidi" w:hAnsiTheme="majorBidi" w:cstheme="majorBidi"/>
                <w:sz w:val="20"/>
              </w:rPr>
              <w:t xml:space="preserve">                               </w:t>
            </w:r>
            <w:r w:rsidR="00185091" w:rsidRPr="00CE6165">
              <w:rPr>
                <w:rFonts w:asciiTheme="majorBidi" w:hAnsiTheme="majorBidi" w:cstheme="majorBidi"/>
                <w:sz w:val="20"/>
              </w:rPr>
              <w:t xml:space="preserve">Sum of Squares       </w:t>
            </w:r>
            <w:r w:rsidR="00474A6B" w:rsidRPr="00CE6165">
              <w:rPr>
                <w:rFonts w:asciiTheme="majorBidi" w:hAnsiTheme="majorBidi" w:cstheme="majorBidi"/>
                <w:sz w:val="20"/>
              </w:rPr>
              <w:t xml:space="preserve"> </w:t>
            </w:r>
            <w:proofErr w:type="spellStart"/>
            <w:r w:rsidR="00185091" w:rsidRPr="00CE6165">
              <w:rPr>
                <w:rFonts w:asciiTheme="majorBidi" w:hAnsiTheme="majorBidi" w:cstheme="majorBidi"/>
                <w:sz w:val="20"/>
              </w:rPr>
              <w:t>df</w:t>
            </w:r>
            <w:proofErr w:type="spellEnd"/>
            <w:r w:rsidR="00185091" w:rsidRPr="00CE6165">
              <w:rPr>
                <w:rFonts w:asciiTheme="majorBidi" w:hAnsiTheme="majorBidi" w:cstheme="majorBidi"/>
                <w:sz w:val="20"/>
              </w:rPr>
              <w:t xml:space="preserve">       </w:t>
            </w:r>
            <w:r w:rsidRPr="00CE6165">
              <w:rPr>
                <w:rFonts w:asciiTheme="majorBidi" w:hAnsiTheme="majorBidi" w:cstheme="majorBidi"/>
                <w:sz w:val="20"/>
              </w:rPr>
              <w:t xml:space="preserve">    </w:t>
            </w:r>
            <w:r w:rsidR="00474A6B" w:rsidRPr="00CE6165">
              <w:rPr>
                <w:rFonts w:asciiTheme="majorBidi" w:hAnsiTheme="majorBidi" w:cstheme="majorBidi"/>
                <w:sz w:val="20"/>
              </w:rPr>
              <w:t xml:space="preserve">  </w:t>
            </w:r>
            <w:r w:rsidR="00185091" w:rsidRPr="00CE6165">
              <w:rPr>
                <w:rFonts w:asciiTheme="majorBidi" w:hAnsiTheme="majorBidi" w:cstheme="majorBidi"/>
                <w:sz w:val="20"/>
              </w:rPr>
              <w:t>Mean</w:t>
            </w:r>
            <w:r w:rsidRPr="00CE6165">
              <w:rPr>
                <w:rFonts w:asciiTheme="majorBidi" w:hAnsiTheme="majorBidi" w:cstheme="majorBidi"/>
                <w:sz w:val="20"/>
              </w:rPr>
              <w:t xml:space="preserve">            </w:t>
            </w:r>
            <w:r w:rsidR="00185091" w:rsidRPr="00CE6165">
              <w:rPr>
                <w:rFonts w:asciiTheme="majorBidi" w:hAnsiTheme="majorBidi" w:cstheme="majorBidi"/>
                <w:sz w:val="20"/>
              </w:rPr>
              <w:t xml:space="preserve">F         </w:t>
            </w:r>
            <w:r w:rsidR="00474A6B" w:rsidRPr="00CE6165">
              <w:rPr>
                <w:rFonts w:asciiTheme="majorBidi" w:hAnsiTheme="majorBidi" w:cstheme="majorBidi"/>
                <w:sz w:val="20"/>
              </w:rPr>
              <w:t xml:space="preserve"> </w:t>
            </w:r>
            <w:r w:rsidR="00185091" w:rsidRPr="00CE6165">
              <w:rPr>
                <w:rFonts w:asciiTheme="majorBidi" w:hAnsiTheme="majorBidi" w:cstheme="majorBidi"/>
                <w:sz w:val="20"/>
              </w:rPr>
              <w:t xml:space="preserve"> P    </w:t>
            </w:r>
            <w:r w:rsidR="00474A6B" w:rsidRPr="00CE6165">
              <w:rPr>
                <w:rFonts w:asciiTheme="majorBidi" w:hAnsiTheme="majorBidi" w:cstheme="majorBidi"/>
                <w:sz w:val="20"/>
              </w:rPr>
              <w:t xml:space="preserve">    </w:t>
            </w:r>
            <w:r w:rsidR="00185091" w:rsidRPr="00CE6165">
              <w:rPr>
                <w:rFonts w:asciiTheme="majorBidi" w:hAnsiTheme="majorBidi" w:cstheme="majorBidi"/>
                <w:sz w:val="20"/>
              </w:rPr>
              <w:t>Eta square</w:t>
            </w:r>
          </w:p>
        </w:tc>
      </w:tr>
      <w:tr w:rsidR="00185091" w:rsidRPr="00CE6165" w:rsidTr="005337FF">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202" w:type="dxa"/>
            <w:vMerge w:val="restart"/>
          </w:tcPr>
          <w:p w:rsidR="00185091" w:rsidRPr="00CE6165" w:rsidRDefault="00185091" w:rsidP="00D512DA">
            <w:pPr>
              <w:rPr>
                <w:rFonts w:asciiTheme="majorBidi" w:hAnsiTheme="majorBidi" w:cstheme="majorBidi"/>
                <w:sz w:val="20"/>
              </w:rPr>
            </w:pPr>
            <w:r w:rsidRPr="00CE6165">
              <w:rPr>
                <w:rFonts w:asciiTheme="majorBidi" w:hAnsiTheme="majorBidi" w:cstheme="majorBidi"/>
                <w:sz w:val="20"/>
              </w:rPr>
              <w:t>PSWQ</w:t>
            </w:r>
          </w:p>
        </w:tc>
        <w:tc>
          <w:tcPr>
            <w:tcW w:w="916" w:type="dxa"/>
            <w:vMerge w:val="restart"/>
          </w:tcPr>
          <w:p w:rsidR="00185091" w:rsidRPr="00CE6165" w:rsidRDefault="00185091" w:rsidP="00D512DA">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rPr>
            </w:pPr>
            <w:r w:rsidRPr="00CE6165">
              <w:rPr>
                <w:rFonts w:asciiTheme="majorBidi" w:hAnsiTheme="majorBidi" w:cstheme="majorBidi"/>
                <w:sz w:val="20"/>
              </w:rPr>
              <w:t>Between subjects</w:t>
            </w:r>
          </w:p>
        </w:tc>
        <w:tc>
          <w:tcPr>
            <w:tcW w:w="6951" w:type="dxa"/>
          </w:tcPr>
          <w:p w:rsidR="00185091" w:rsidRPr="00CE6165" w:rsidRDefault="00185091" w:rsidP="00D512DA">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rPr>
            </w:pPr>
            <w:r w:rsidRPr="00CE6165">
              <w:rPr>
                <w:rFonts w:asciiTheme="majorBidi" w:hAnsiTheme="majorBidi" w:cstheme="majorBidi"/>
                <w:sz w:val="20"/>
              </w:rPr>
              <w:t>Group                1474.08                  1            1474.08       12.53     0.002         0.36</w:t>
            </w:r>
          </w:p>
        </w:tc>
        <w:tc>
          <w:tcPr>
            <w:tcW w:w="266" w:type="dxa"/>
            <w:vMerge w:val="restart"/>
          </w:tcPr>
          <w:p w:rsidR="00185091" w:rsidRPr="00CE6165" w:rsidRDefault="00185091" w:rsidP="00D512DA">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rPr>
            </w:pPr>
          </w:p>
          <w:p w:rsidR="00185091" w:rsidRPr="00CE6165" w:rsidRDefault="00185091" w:rsidP="00D512DA">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rPr>
            </w:pPr>
          </w:p>
        </w:tc>
      </w:tr>
      <w:tr w:rsidR="00185091" w:rsidRPr="00CE6165" w:rsidTr="005337FF">
        <w:trPr>
          <w:trHeight w:val="363"/>
        </w:trPr>
        <w:tc>
          <w:tcPr>
            <w:cnfStyle w:val="001000000000" w:firstRow="0" w:lastRow="0" w:firstColumn="1" w:lastColumn="0" w:oddVBand="0" w:evenVBand="0" w:oddHBand="0" w:evenHBand="0" w:firstRowFirstColumn="0" w:firstRowLastColumn="0" w:lastRowFirstColumn="0" w:lastRowLastColumn="0"/>
            <w:tcW w:w="1202" w:type="dxa"/>
            <w:vMerge/>
          </w:tcPr>
          <w:p w:rsidR="00185091" w:rsidRPr="00CE6165" w:rsidRDefault="00185091" w:rsidP="00D512DA">
            <w:pPr>
              <w:rPr>
                <w:rFonts w:asciiTheme="majorBidi" w:hAnsiTheme="majorBidi" w:cstheme="majorBidi"/>
                <w:sz w:val="20"/>
              </w:rPr>
            </w:pPr>
          </w:p>
        </w:tc>
        <w:tc>
          <w:tcPr>
            <w:tcW w:w="916" w:type="dxa"/>
            <w:vMerge/>
          </w:tcPr>
          <w:p w:rsidR="00185091" w:rsidRPr="00CE6165" w:rsidRDefault="00185091" w:rsidP="00D512DA">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rPr>
            </w:pPr>
          </w:p>
        </w:tc>
        <w:tc>
          <w:tcPr>
            <w:tcW w:w="6951" w:type="dxa"/>
          </w:tcPr>
          <w:p w:rsidR="00185091" w:rsidRPr="00CE6165" w:rsidRDefault="00185091" w:rsidP="00474A6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rPr>
            </w:pPr>
            <w:r w:rsidRPr="00CE6165">
              <w:rPr>
                <w:rFonts w:asciiTheme="majorBidi" w:hAnsiTheme="majorBidi" w:cstheme="majorBidi"/>
                <w:sz w:val="20"/>
              </w:rPr>
              <w:t>Error                 2586.91                  22           117.58</w:t>
            </w:r>
          </w:p>
        </w:tc>
        <w:tc>
          <w:tcPr>
            <w:tcW w:w="266" w:type="dxa"/>
            <w:vMerge/>
          </w:tcPr>
          <w:p w:rsidR="00185091" w:rsidRPr="00CE6165" w:rsidRDefault="00185091" w:rsidP="00D512DA">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rPr>
            </w:pPr>
          </w:p>
        </w:tc>
      </w:tr>
      <w:tr w:rsidR="00185091" w:rsidRPr="00CE6165" w:rsidTr="005337FF">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202" w:type="dxa"/>
            <w:vMerge w:val="restart"/>
          </w:tcPr>
          <w:p w:rsidR="00185091" w:rsidRPr="00CE6165" w:rsidRDefault="00185091" w:rsidP="00D512DA">
            <w:pPr>
              <w:rPr>
                <w:rFonts w:asciiTheme="majorBidi" w:hAnsiTheme="majorBidi" w:cstheme="majorBidi"/>
                <w:sz w:val="20"/>
              </w:rPr>
            </w:pPr>
            <w:r w:rsidRPr="00CE6165">
              <w:rPr>
                <w:rFonts w:asciiTheme="majorBidi" w:hAnsiTheme="majorBidi" w:cstheme="majorBidi"/>
                <w:sz w:val="20"/>
              </w:rPr>
              <w:t>WW-II</w:t>
            </w:r>
          </w:p>
        </w:tc>
        <w:tc>
          <w:tcPr>
            <w:tcW w:w="916" w:type="dxa"/>
            <w:vMerge w:val="restart"/>
          </w:tcPr>
          <w:p w:rsidR="00185091" w:rsidRPr="00CE6165" w:rsidRDefault="00185091" w:rsidP="00D512DA">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rPr>
            </w:pPr>
            <w:r w:rsidRPr="00CE6165">
              <w:rPr>
                <w:rFonts w:asciiTheme="majorBidi" w:hAnsiTheme="majorBidi" w:cstheme="majorBidi"/>
                <w:sz w:val="20"/>
              </w:rPr>
              <w:t>Between subjects</w:t>
            </w:r>
          </w:p>
        </w:tc>
        <w:tc>
          <w:tcPr>
            <w:tcW w:w="6951" w:type="dxa"/>
          </w:tcPr>
          <w:p w:rsidR="00185091" w:rsidRPr="00CE6165" w:rsidRDefault="00185091" w:rsidP="00474A6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rPr>
            </w:pPr>
            <w:r w:rsidRPr="00CE6165">
              <w:rPr>
                <w:rFonts w:asciiTheme="majorBidi" w:hAnsiTheme="majorBidi" w:cstheme="majorBidi"/>
                <w:sz w:val="20"/>
              </w:rPr>
              <w:t xml:space="preserve">Group                 0.52                       1               0.52        </w:t>
            </w:r>
            <w:r w:rsidR="00474A6B" w:rsidRPr="00CE6165">
              <w:rPr>
                <w:rFonts w:asciiTheme="majorBidi" w:hAnsiTheme="majorBidi" w:cstheme="majorBidi"/>
                <w:sz w:val="20"/>
              </w:rPr>
              <w:t xml:space="preserve"> </w:t>
            </w:r>
            <w:r w:rsidRPr="00CE6165">
              <w:rPr>
                <w:rFonts w:asciiTheme="majorBidi" w:hAnsiTheme="majorBidi" w:cstheme="majorBidi"/>
                <w:sz w:val="20"/>
              </w:rPr>
              <w:t xml:space="preserve"> 0.001       0.97         0.000</w:t>
            </w:r>
          </w:p>
        </w:tc>
        <w:tc>
          <w:tcPr>
            <w:tcW w:w="266" w:type="dxa"/>
            <w:vMerge w:val="restart"/>
          </w:tcPr>
          <w:p w:rsidR="00185091" w:rsidRPr="00CE6165" w:rsidRDefault="00185091" w:rsidP="00D512DA">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rPr>
            </w:pPr>
          </w:p>
        </w:tc>
      </w:tr>
      <w:tr w:rsidR="00185091" w:rsidRPr="00CE6165" w:rsidTr="005337FF">
        <w:trPr>
          <w:trHeight w:val="317"/>
        </w:trPr>
        <w:tc>
          <w:tcPr>
            <w:cnfStyle w:val="001000000000" w:firstRow="0" w:lastRow="0" w:firstColumn="1" w:lastColumn="0" w:oddVBand="0" w:evenVBand="0" w:oddHBand="0" w:evenHBand="0" w:firstRowFirstColumn="0" w:firstRowLastColumn="0" w:lastRowFirstColumn="0" w:lastRowLastColumn="0"/>
            <w:tcW w:w="1202" w:type="dxa"/>
            <w:vMerge/>
          </w:tcPr>
          <w:p w:rsidR="00185091" w:rsidRPr="00CE6165" w:rsidRDefault="00185091" w:rsidP="00D512DA">
            <w:pPr>
              <w:rPr>
                <w:rFonts w:asciiTheme="majorBidi" w:hAnsiTheme="majorBidi" w:cstheme="majorBidi"/>
                <w:sz w:val="20"/>
              </w:rPr>
            </w:pPr>
          </w:p>
        </w:tc>
        <w:tc>
          <w:tcPr>
            <w:tcW w:w="916" w:type="dxa"/>
            <w:vMerge/>
          </w:tcPr>
          <w:p w:rsidR="00185091" w:rsidRPr="00CE6165" w:rsidRDefault="00185091" w:rsidP="00D512DA">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rPr>
            </w:pPr>
          </w:p>
        </w:tc>
        <w:tc>
          <w:tcPr>
            <w:tcW w:w="6951" w:type="dxa"/>
          </w:tcPr>
          <w:p w:rsidR="00185091" w:rsidRPr="00CE6165" w:rsidRDefault="00185091" w:rsidP="00474A6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rPr>
            </w:pPr>
            <w:r w:rsidRPr="00CE6165">
              <w:rPr>
                <w:rFonts w:asciiTheme="majorBidi" w:hAnsiTheme="majorBidi" w:cstheme="majorBidi"/>
                <w:sz w:val="20"/>
              </w:rPr>
              <w:t xml:space="preserve">Error                 9427.96                  22           428.54        </w:t>
            </w:r>
          </w:p>
        </w:tc>
        <w:tc>
          <w:tcPr>
            <w:tcW w:w="266" w:type="dxa"/>
            <w:vMerge/>
          </w:tcPr>
          <w:p w:rsidR="00185091" w:rsidRPr="00CE6165" w:rsidRDefault="00185091" w:rsidP="00D512DA">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rPr>
            </w:pPr>
          </w:p>
        </w:tc>
      </w:tr>
      <w:tr w:rsidR="00185091" w:rsidRPr="00CE6165" w:rsidTr="005337FF">
        <w:trPr>
          <w:cnfStyle w:val="000000100000" w:firstRow="0" w:lastRow="0" w:firstColumn="0" w:lastColumn="0" w:oddVBand="0" w:evenVBand="0" w:oddHBand="1"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1202" w:type="dxa"/>
            <w:vMerge w:val="restart"/>
          </w:tcPr>
          <w:p w:rsidR="00185091" w:rsidRPr="00CE6165" w:rsidRDefault="00185091" w:rsidP="00D512DA">
            <w:pPr>
              <w:rPr>
                <w:rFonts w:asciiTheme="majorBidi" w:hAnsiTheme="majorBidi" w:cstheme="majorBidi"/>
                <w:sz w:val="20"/>
              </w:rPr>
            </w:pPr>
            <w:r w:rsidRPr="00CE6165">
              <w:rPr>
                <w:rFonts w:asciiTheme="majorBidi" w:hAnsiTheme="majorBidi" w:cstheme="majorBidi"/>
                <w:sz w:val="20"/>
              </w:rPr>
              <w:t>NPOQ</w:t>
            </w:r>
          </w:p>
        </w:tc>
        <w:tc>
          <w:tcPr>
            <w:tcW w:w="916" w:type="dxa"/>
            <w:vMerge w:val="restart"/>
          </w:tcPr>
          <w:p w:rsidR="00185091" w:rsidRPr="00CE6165" w:rsidRDefault="00185091" w:rsidP="00D512DA">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rPr>
            </w:pPr>
            <w:r w:rsidRPr="00CE6165">
              <w:rPr>
                <w:rFonts w:asciiTheme="majorBidi" w:hAnsiTheme="majorBidi" w:cstheme="majorBidi"/>
                <w:sz w:val="20"/>
              </w:rPr>
              <w:t>Between subjects</w:t>
            </w:r>
          </w:p>
        </w:tc>
        <w:tc>
          <w:tcPr>
            <w:tcW w:w="6951" w:type="dxa"/>
          </w:tcPr>
          <w:p w:rsidR="00185091" w:rsidRPr="00CE6165" w:rsidRDefault="00185091" w:rsidP="00474A6B">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rPr>
            </w:pPr>
            <w:r w:rsidRPr="00CE6165">
              <w:rPr>
                <w:rFonts w:asciiTheme="majorBidi" w:hAnsiTheme="majorBidi" w:cstheme="majorBidi"/>
                <w:sz w:val="20"/>
              </w:rPr>
              <w:t xml:space="preserve">Group          </w:t>
            </w:r>
            <w:r w:rsidR="00474A6B" w:rsidRPr="00CE6165">
              <w:rPr>
                <w:rFonts w:asciiTheme="majorBidi" w:hAnsiTheme="majorBidi" w:cstheme="majorBidi"/>
                <w:sz w:val="20"/>
              </w:rPr>
              <w:t xml:space="preserve">      1026.75                  </w:t>
            </w:r>
            <w:r w:rsidRPr="00CE6165">
              <w:rPr>
                <w:rFonts w:asciiTheme="majorBidi" w:hAnsiTheme="majorBidi" w:cstheme="majorBidi"/>
                <w:sz w:val="20"/>
              </w:rPr>
              <w:t>1             1026.75       7.82        0.01        0.26</w:t>
            </w:r>
          </w:p>
        </w:tc>
        <w:tc>
          <w:tcPr>
            <w:tcW w:w="266" w:type="dxa"/>
            <w:vMerge w:val="restart"/>
          </w:tcPr>
          <w:p w:rsidR="00185091" w:rsidRPr="00CE6165" w:rsidRDefault="00185091" w:rsidP="00D512DA">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rPr>
            </w:pPr>
          </w:p>
        </w:tc>
      </w:tr>
      <w:tr w:rsidR="00185091" w:rsidRPr="00CE6165" w:rsidTr="005337FF">
        <w:trPr>
          <w:trHeight w:val="340"/>
        </w:trPr>
        <w:tc>
          <w:tcPr>
            <w:cnfStyle w:val="001000000000" w:firstRow="0" w:lastRow="0" w:firstColumn="1" w:lastColumn="0" w:oddVBand="0" w:evenVBand="0" w:oddHBand="0" w:evenHBand="0" w:firstRowFirstColumn="0" w:firstRowLastColumn="0" w:lastRowFirstColumn="0" w:lastRowLastColumn="0"/>
            <w:tcW w:w="1202" w:type="dxa"/>
            <w:vMerge/>
          </w:tcPr>
          <w:p w:rsidR="00185091" w:rsidRPr="00CE6165" w:rsidRDefault="00185091" w:rsidP="00D512DA">
            <w:pPr>
              <w:rPr>
                <w:rFonts w:asciiTheme="majorBidi" w:hAnsiTheme="majorBidi" w:cstheme="majorBidi"/>
                <w:sz w:val="20"/>
              </w:rPr>
            </w:pPr>
          </w:p>
        </w:tc>
        <w:tc>
          <w:tcPr>
            <w:tcW w:w="916" w:type="dxa"/>
            <w:vMerge/>
          </w:tcPr>
          <w:p w:rsidR="00185091" w:rsidRPr="00CE6165" w:rsidRDefault="00185091" w:rsidP="00D512DA">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rPr>
            </w:pPr>
          </w:p>
        </w:tc>
        <w:tc>
          <w:tcPr>
            <w:tcW w:w="6951" w:type="dxa"/>
          </w:tcPr>
          <w:p w:rsidR="00185091" w:rsidRPr="00CE6165" w:rsidRDefault="00185091" w:rsidP="00474A6B">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rPr>
            </w:pPr>
            <w:r w:rsidRPr="00CE6165">
              <w:rPr>
                <w:rFonts w:asciiTheme="majorBidi" w:hAnsiTheme="majorBidi" w:cstheme="majorBidi"/>
                <w:sz w:val="20"/>
              </w:rPr>
              <w:t xml:space="preserve">Error                  2887.25                </w:t>
            </w:r>
            <w:r w:rsidR="00474A6B" w:rsidRPr="00CE6165">
              <w:rPr>
                <w:rFonts w:asciiTheme="majorBidi" w:hAnsiTheme="majorBidi" w:cstheme="majorBidi"/>
                <w:sz w:val="20"/>
              </w:rPr>
              <w:t xml:space="preserve"> </w:t>
            </w:r>
            <w:r w:rsidRPr="00CE6165">
              <w:rPr>
                <w:rFonts w:asciiTheme="majorBidi" w:hAnsiTheme="majorBidi" w:cstheme="majorBidi"/>
                <w:sz w:val="20"/>
              </w:rPr>
              <w:t>22            131.24</w:t>
            </w:r>
          </w:p>
        </w:tc>
        <w:tc>
          <w:tcPr>
            <w:tcW w:w="266" w:type="dxa"/>
            <w:vMerge/>
          </w:tcPr>
          <w:p w:rsidR="00185091" w:rsidRPr="00CE6165" w:rsidRDefault="00185091" w:rsidP="00D512DA">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rPr>
            </w:pPr>
          </w:p>
        </w:tc>
      </w:tr>
    </w:tbl>
    <w:p w:rsidR="00185091" w:rsidRPr="00CE6165" w:rsidRDefault="00185091" w:rsidP="00185091">
      <w:pPr>
        <w:rPr>
          <w:rFonts w:asciiTheme="majorBidi" w:hAnsiTheme="majorBidi" w:cstheme="majorBidi"/>
          <w:sz w:val="20"/>
        </w:rPr>
      </w:pPr>
      <w:r w:rsidRPr="00CE6165">
        <w:rPr>
          <w:rFonts w:asciiTheme="majorBidi" w:hAnsiTheme="majorBidi" w:cstheme="majorBidi"/>
          <w:szCs w:val="22"/>
        </w:rPr>
        <w:t>Notes</w:t>
      </w:r>
      <w:r w:rsidR="00AC6DC8" w:rsidRPr="00CE6165">
        <w:rPr>
          <w:rFonts w:asciiTheme="majorBidi" w:hAnsiTheme="majorBidi" w:cstheme="majorBidi"/>
          <w:szCs w:val="22"/>
        </w:rPr>
        <w:t>:</w:t>
      </w:r>
      <w:r w:rsidRPr="00CE6165">
        <w:rPr>
          <w:rFonts w:asciiTheme="majorBidi" w:hAnsiTheme="majorBidi" w:cstheme="majorBidi"/>
          <w:sz w:val="20"/>
          <w:lang w:bidi="fa-IR"/>
        </w:rPr>
        <w:t xml:space="preserve"> </w:t>
      </w:r>
      <w:r w:rsidRPr="00CE6165">
        <w:rPr>
          <w:rFonts w:asciiTheme="majorBidi" w:hAnsiTheme="majorBidi" w:cstheme="majorBidi"/>
          <w:sz w:val="20"/>
        </w:rPr>
        <w:t>PSWQ = Penn State Worry Questionnaire; WW-II= Why Worry-II; NPOQ</w:t>
      </w:r>
      <w:r w:rsidRPr="00CE6165">
        <w:rPr>
          <w:rFonts w:asciiTheme="majorBidi" w:hAnsiTheme="majorBidi" w:cstheme="majorBidi"/>
          <w:sz w:val="18"/>
          <w:szCs w:val="18"/>
        </w:rPr>
        <w:t>=</w:t>
      </w:r>
      <w:r w:rsidRPr="00CE6165">
        <w:rPr>
          <w:rFonts w:asciiTheme="majorBidi" w:hAnsiTheme="majorBidi" w:cstheme="majorBidi"/>
          <w:sz w:val="20"/>
        </w:rPr>
        <w:t xml:space="preserve"> Negative Problem Orientation Questionnaire.</w:t>
      </w:r>
    </w:p>
    <w:p w:rsidR="00185091" w:rsidRPr="00CE6165" w:rsidRDefault="00185091" w:rsidP="00185091">
      <w:pPr>
        <w:spacing w:before="100" w:beforeAutospacing="1" w:after="100" w:afterAutospacing="1" w:line="240" w:lineRule="auto"/>
        <w:jc w:val="both"/>
        <w:rPr>
          <w:rFonts w:asciiTheme="majorBidi" w:eastAsia="Calibri" w:hAnsiTheme="majorBidi" w:cstheme="majorBidi"/>
          <w:sz w:val="24"/>
          <w:szCs w:val="24"/>
        </w:rPr>
      </w:pPr>
      <w:r w:rsidRPr="00CE6165">
        <w:rPr>
          <w:rFonts w:asciiTheme="majorBidi" w:hAnsiTheme="majorBidi" w:cstheme="majorBidi"/>
          <w:sz w:val="24"/>
          <w:szCs w:val="24"/>
        </w:rPr>
        <w:t xml:space="preserve">According to the results of repeated measures analysis of variance, difference of scores in pre-test and post-test in variables of worry (P = 0.005, F = 12.53) and negative problem orientation (P = 0.005, F = 7.82) was statistically significant, but this difference was not significant in the variable of positive beliefs about worry (p &lt;0.001, F = 0.001). </w:t>
      </w:r>
    </w:p>
    <w:p w:rsidR="00185091" w:rsidRPr="00CE6165" w:rsidRDefault="00185091" w:rsidP="00985F46">
      <w:pPr>
        <w:spacing w:before="100" w:beforeAutospacing="1" w:after="100" w:afterAutospacing="1" w:line="276" w:lineRule="auto"/>
        <w:jc w:val="both"/>
        <w:rPr>
          <w:rFonts w:asciiTheme="majorBidi" w:hAnsiTheme="majorBidi" w:cstheme="majorBidi"/>
          <w:sz w:val="24"/>
          <w:szCs w:val="24"/>
        </w:rPr>
      </w:pPr>
      <w:proofErr w:type="spellStart"/>
      <w:r w:rsidRPr="00CE6165">
        <w:rPr>
          <w:rFonts w:asciiTheme="majorBidi" w:hAnsiTheme="majorBidi" w:cstheme="majorBidi"/>
          <w:sz w:val="24"/>
          <w:szCs w:val="24"/>
        </w:rPr>
        <w:t>Bonferroni</w:t>
      </w:r>
      <w:proofErr w:type="spellEnd"/>
      <w:r w:rsidRPr="00CE6165">
        <w:rPr>
          <w:rFonts w:asciiTheme="majorBidi" w:hAnsiTheme="majorBidi" w:cstheme="majorBidi"/>
          <w:sz w:val="24"/>
          <w:szCs w:val="24"/>
        </w:rPr>
        <w:t xml:space="preserve"> </w:t>
      </w:r>
      <w:r w:rsidR="00985F46" w:rsidRPr="00CE6165">
        <w:rPr>
          <w:rFonts w:asciiTheme="majorBidi" w:hAnsiTheme="majorBidi" w:cstheme="majorBidi"/>
          <w:sz w:val="24"/>
          <w:szCs w:val="24"/>
        </w:rPr>
        <w:t>post hoc</w:t>
      </w:r>
      <w:r w:rsidRPr="00CE6165">
        <w:rPr>
          <w:rFonts w:asciiTheme="majorBidi" w:hAnsiTheme="majorBidi" w:cstheme="majorBidi"/>
          <w:sz w:val="24"/>
          <w:szCs w:val="24"/>
        </w:rPr>
        <w:t xml:space="preserve"> test was used for pairwise comparison, results of which are summarized in the table below.</w:t>
      </w:r>
    </w:p>
    <w:p w:rsidR="00185091" w:rsidRPr="00CE6165" w:rsidRDefault="00185091" w:rsidP="004B5654">
      <w:pPr>
        <w:rPr>
          <w:rFonts w:asciiTheme="majorBidi" w:hAnsiTheme="majorBidi" w:cstheme="majorBidi"/>
          <w:sz w:val="20"/>
        </w:rPr>
      </w:pPr>
      <w:r w:rsidRPr="00CE6165">
        <w:rPr>
          <w:rFonts w:asciiTheme="majorBidi" w:hAnsiTheme="majorBidi" w:cstheme="majorBidi"/>
          <w:b/>
          <w:bCs/>
          <w:sz w:val="20"/>
        </w:rPr>
        <w:t>Table 4.</w:t>
      </w:r>
      <w:r w:rsidRPr="00CE6165">
        <w:rPr>
          <w:rFonts w:asciiTheme="majorBidi" w:hAnsiTheme="majorBidi" w:cstheme="majorBidi"/>
          <w:sz w:val="20"/>
        </w:rPr>
        <w:t xml:space="preserve"> </w:t>
      </w:r>
      <w:proofErr w:type="spellStart"/>
      <w:r w:rsidRPr="00CE6165">
        <w:rPr>
          <w:rFonts w:asciiTheme="majorBidi" w:hAnsiTheme="majorBidi" w:cstheme="majorBidi"/>
          <w:sz w:val="20"/>
        </w:rPr>
        <w:t>Bonferroni</w:t>
      </w:r>
      <w:proofErr w:type="spellEnd"/>
      <w:r w:rsidR="00985F46" w:rsidRPr="00CE6165">
        <w:rPr>
          <w:rFonts w:asciiTheme="majorBidi" w:hAnsiTheme="majorBidi" w:cstheme="majorBidi"/>
          <w:sz w:val="20"/>
        </w:rPr>
        <w:t xml:space="preserve"> post hoc</w:t>
      </w:r>
      <w:r w:rsidRPr="00CE6165">
        <w:rPr>
          <w:rFonts w:asciiTheme="majorBidi" w:hAnsiTheme="majorBidi" w:cstheme="majorBidi"/>
          <w:sz w:val="20"/>
        </w:rPr>
        <w:t xml:space="preserve"> test results to compare two mean scores of subjects in cognitive-behavioral therapy groups and </w:t>
      </w:r>
      <w:r w:rsidR="004B5654" w:rsidRPr="00CE6165">
        <w:rPr>
          <w:rFonts w:asciiTheme="majorBidi" w:hAnsiTheme="majorBidi" w:cstheme="majorBidi"/>
          <w:sz w:val="20"/>
        </w:rPr>
        <w:t>Pharmacotherapy</w:t>
      </w:r>
      <w:r w:rsidRPr="00CE6165">
        <w:rPr>
          <w:rFonts w:asciiTheme="majorBidi" w:hAnsiTheme="majorBidi" w:cstheme="majorBidi"/>
          <w:sz w:val="20"/>
        </w:rPr>
        <w:t xml:space="preserve"> based on the mean differences and the level of significance</w:t>
      </w:r>
    </w:p>
    <w:tbl>
      <w:tblPr>
        <w:tblStyle w:val="TableGrid3"/>
        <w:tblW w:w="0" w:type="auto"/>
        <w:tblInd w:w="20" w:type="dxa"/>
        <w:tblLook w:val="04A0" w:firstRow="1" w:lastRow="0" w:firstColumn="1" w:lastColumn="0" w:noHBand="0" w:noVBand="1"/>
      </w:tblPr>
      <w:tblGrid>
        <w:gridCol w:w="1558"/>
        <w:gridCol w:w="7782"/>
      </w:tblGrid>
      <w:tr w:rsidR="00185091" w:rsidRPr="00CE6165" w:rsidTr="00D512DA">
        <w:tc>
          <w:tcPr>
            <w:tcW w:w="9340" w:type="dxa"/>
            <w:gridSpan w:val="2"/>
            <w:tcBorders>
              <w:left w:val="nil"/>
              <w:right w:val="nil"/>
            </w:tcBorders>
          </w:tcPr>
          <w:p w:rsidR="00185091" w:rsidRPr="00CE6165" w:rsidRDefault="00185091" w:rsidP="00D512DA">
            <w:pPr>
              <w:rPr>
                <w:rFonts w:asciiTheme="majorBidi" w:hAnsiTheme="majorBidi" w:cstheme="majorBidi"/>
                <w:sz w:val="20"/>
              </w:rPr>
            </w:pPr>
          </w:p>
          <w:p w:rsidR="00185091" w:rsidRPr="00CE6165" w:rsidRDefault="00185091" w:rsidP="00642C4B">
            <w:pPr>
              <w:rPr>
                <w:rFonts w:asciiTheme="majorBidi" w:hAnsiTheme="majorBidi" w:cstheme="majorBidi"/>
                <w:sz w:val="20"/>
              </w:rPr>
            </w:pPr>
            <w:r w:rsidRPr="00CE6165">
              <w:rPr>
                <w:rFonts w:asciiTheme="majorBidi" w:hAnsiTheme="majorBidi" w:cstheme="majorBidi"/>
                <w:b/>
                <w:bCs/>
                <w:sz w:val="20"/>
              </w:rPr>
              <w:t xml:space="preserve">Measure           </w:t>
            </w:r>
            <w:r w:rsidR="00474A6B" w:rsidRPr="00CE6165">
              <w:rPr>
                <w:rFonts w:asciiTheme="majorBidi" w:hAnsiTheme="majorBidi" w:cstheme="majorBidi"/>
                <w:b/>
                <w:bCs/>
                <w:sz w:val="20"/>
              </w:rPr>
              <w:t xml:space="preserve">   </w:t>
            </w:r>
            <w:r w:rsidRPr="00CE6165">
              <w:rPr>
                <w:rFonts w:asciiTheme="majorBidi" w:hAnsiTheme="majorBidi" w:cstheme="majorBidi"/>
                <w:b/>
                <w:bCs/>
                <w:sz w:val="20"/>
              </w:rPr>
              <w:t xml:space="preserve"> Groups        Source Measure    </w:t>
            </w:r>
            <w:r w:rsidR="004C7A67" w:rsidRPr="00CE6165">
              <w:rPr>
                <w:rFonts w:asciiTheme="majorBidi" w:hAnsiTheme="majorBidi" w:cstheme="majorBidi"/>
                <w:b/>
                <w:bCs/>
                <w:sz w:val="20"/>
              </w:rPr>
              <w:t xml:space="preserve">    Mean Difference (</w:t>
            </w:r>
            <w:proofErr w:type="spellStart"/>
            <w:r w:rsidR="004C7A67" w:rsidRPr="00CE6165">
              <w:rPr>
                <w:rFonts w:asciiTheme="majorBidi" w:hAnsiTheme="majorBidi" w:cstheme="majorBidi"/>
                <w:b/>
                <w:bCs/>
                <w:sz w:val="20"/>
              </w:rPr>
              <w:t>i</w:t>
            </w:r>
            <w:proofErr w:type="spellEnd"/>
            <w:r w:rsidR="004C7A67" w:rsidRPr="00CE6165">
              <w:rPr>
                <w:rFonts w:asciiTheme="majorBidi" w:hAnsiTheme="majorBidi" w:cstheme="majorBidi"/>
                <w:b/>
                <w:bCs/>
                <w:sz w:val="20"/>
              </w:rPr>
              <w:t xml:space="preserve">-j)      </w:t>
            </w:r>
            <w:proofErr w:type="spellStart"/>
            <w:r w:rsidRPr="00CE6165">
              <w:rPr>
                <w:rFonts w:asciiTheme="majorBidi" w:hAnsiTheme="majorBidi" w:cstheme="majorBidi"/>
                <w:b/>
                <w:bCs/>
                <w:sz w:val="20"/>
              </w:rPr>
              <w:t>Std.Error</w:t>
            </w:r>
            <w:proofErr w:type="spellEnd"/>
            <w:r w:rsidR="004C7A67" w:rsidRPr="00CE6165">
              <w:rPr>
                <w:rFonts w:asciiTheme="majorBidi" w:hAnsiTheme="majorBidi" w:cstheme="majorBidi"/>
                <w:sz w:val="20"/>
              </w:rPr>
              <w:t xml:space="preserve">             </w:t>
            </w:r>
            <w:r w:rsidR="00642C4B" w:rsidRPr="00CE6165">
              <w:rPr>
                <w:rFonts w:asciiTheme="majorBidi" w:hAnsiTheme="majorBidi" w:cstheme="majorBidi"/>
                <w:b/>
                <w:bCs/>
                <w:i/>
                <w:iCs/>
                <w:sz w:val="20"/>
              </w:rPr>
              <w:t>P</w:t>
            </w:r>
          </w:p>
          <w:p w:rsidR="00185091" w:rsidRPr="00CE6165" w:rsidRDefault="00185091" w:rsidP="00D512DA">
            <w:pPr>
              <w:rPr>
                <w:rFonts w:asciiTheme="majorBidi" w:hAnsiTheme="majorBidi" w:cstheme="majorBidi"/>
                <w:sz w:val="20"/>
              </w:rPr>
            </w:pPr>
          </w:p>
        </w:tc>
      </w:tr>
      <w:tr w:rsidR="00185091" w:rsidRPr="00CE6165" w:rsidTr="00E05CA5">
        <w:trPr>
          <w:trHeight w:val="329"/>
        </w:trPr>
        <w:tc>
          <w:tcPr>
            <w:tcW w:w="1558" w:type="dxa"/>
            <w:vMerge w:val="restart"/>
            <w:tcBorders>
              <w:left w:val="nil"/>
              <w:right w:val="nil"/>
            </w:tcBorders>
            <w:vAlign w:val="center"/>
          </w:tcPr>
          <w:p w:rsidR="00185091" w:rsidRPr="00CE6165" w:rsidRDefault="00185091" w:rsidP="00474A6B">
            <w:pPr>
              <w:rPr>
                <w:rFonts w:asciiTheme="majorBidi" w:hAnsiTheme="majorBidi" w:cstheme="majorBidi"/>
                <w:b/>
                <w:bCs/>
                <w:sz w:val="20"/>
              </w:rPr>
            </w:pPr>
            <w:r w:rsidRPr="00CE6165">
              <w:rPr>
                <w:rFonts w:asciiTheme="majorBidi" w:hAnsiTheme="majorBidi" w:cstheme="majorBidi"/>
                <w:b/>
                <w:bCs/>
                <w:sz w:val="20"/>
              </w:rPr>
              <w:t>PSWQ</w:t>
            </w:r>
          </w:p>
        </w:tc>
        <w:tc>
          <w:tcPr>
            <w:tcW w:w="7782" w:type="dxa"/>
            <w:tcBorders>
              <w:left w:val="nil"/>
              <w:right w:val="nil"/>
            </w:tcBorders>
          </w:tcPr>
          <w:p w:rsidR="00185091" w:rsidRPr="00CE6165" w:rsidRDefault="00185091" w:rsidP="00D512DA">
            <w:pPr>
              <w:rPr>
                <w:rFonts w:asciiTheme="majorBidi" w:hAnsiTheme="majorBidi" w:cstheme="majorBidi"/>
                <w:sz w:val="20"/>
              </w:rPr>
            </w:pPr>
            <w:r w:rsidRPr="00CE6165">
              <w:rPr>
                <w:rFonts w:asciiTheme="majorBidi" w:hAnsiTheme="majorBidi" w:cstheme="majorBidi"/>
                <w:sz w:val="20"/>
              </w:rPr>
              <w:t>CBT-IU       Pre-test (</w:t>
            </w:r>
            <w:proofErr w:type="spellStart"/>
            <w:r w:rsidRPr="00CE6165">
              <w:rPr>
                <w:rFonts w:asciiTheme="majorBidi" w:hAnsiTheme="majorBidi" w:cstheme="majorBidi"/>
                <w:sz w:val="20"/>
              </w:rPr>
              <w:t>i</w:t>
            </w:r>
            <w:proofErr w:type="spellEnd"/>
            <w:r w:rsidRPr="00CE6165">
              <w:rPr>
                <w:rFonts w:asciiTheme="majorBidi" w:hAnsiTheme="majorBidi" w:cstheme="majorBidi"/>
                <w:sz w:val="20"/>
              </w:rPr>
              <w:t xml:space="preserve">)                    </w:t>
            </w:r>
            <w:r w:rsidR="00474A6B" w:rsidRPr="00CE6165">
              <w:rPr>
                <w:rFonts w:asciiTheme="majorBidi" w:hAnsiTheme="majorBidi" w:cstheme="majorBidi"/>
                <w:sz w:val="20"/>
              </w:rPr>
              <w:t xml:space="preserve"> </w:t>
            </w:r>
            <w:r w:rsidRPr="00CE6165">
              <w:rPr>
                <w:rFonts w:asciiTheme="majorBidi" w:hAnsiTheme="majorBidi" w:cstheme="majorBidi"/>
                <w:sz w:val="20"/>
              </w:rPr>
              <w:t xml:space="preserve"> 23.41                            </w:t>
            </w:r>
            <w:r w:rsidR="004C7A67" w:rsidRPr="00CE6165">
              <w:rPr>
                <w:rFonts w:asciiTheme="majorBidi" w:hAnsiTheme="majorBidi" w:cstheme="majorBidi"/>
                <w:sz w:val="20"/>
              </w:rPr>
              <w:t xml:space="preserve">   </w:t>
            </w:r>
            <w:r w:rsidRPr="00CE6165">
              <w:rPr>
                <w:rFonts w:asciiTheme="majorBidi" w:hAnsiTheme="majorBidi" w:cstheme="majorBidi"/>
                <w:sz w:val="20"/>
              </w:rPr>
              <w:t>2.</w:t>
            </w:r>
            <w:r w:rsidR="004C7A67" w:rsidRPr="00CE6165">
              <w:rPr>
                <w:rFonts w:asciiTheme="majorBidi" w:hAnsiTheme="majorBidi" w:cstheme="majorBidi"/>
                <w:sz w:val="20"/>
              </w:rPr>
              <w:t xml:space="preserve">36                   </w:t>
            </w:r>
            <w:r w:rsidRPr="00CE6165">
              <w:rPr>
                <w:rFonts w:asciiTheme="majorBidi" w:hAnsiTheme="majorBidi" w:cstheme="majorBidi"/>
                <w:sz w:val="20"/>
              </w:rPr>
              <w:t>0.000</w:t>
            </w:r>
          </w:p>
        </w:tc>
      </w:tr>
      <w:tr w:rsidR="00185091" w:rsidRPr="00CE6165" w:rsidTr="00D512DA">
        <w:trPr>
          <w:trHeight w:val="363"/>
        </w:trPr>
        <w:tc>
          <w:tcPr>
            <w:tcW w:w="1558" w:type="dxa"/>
            <w:vMerge/>
            <w:tcBorders>
              <w:left w:val="nil"/>
              <w:right w:val="nil"/>
            </w:tcBorders>
            <w:vAlign w:val="center"/>
          </w:tcPr>
          <w:p w:rsidR="00185091" w:rsidRPr="00CE6165" w:rsidRDefault="00185091" w:rsidP="00D512DA">
            <w:pPr>
              <w:jc w:val="center"/>
              <w:rPr>
                <w:rFonts w:asciiTheme="majorBidi" w:hAnsiTheme="majorBidi" w:cstheme="majorBidi"/>
                <w:b/>
                <w:bCs/>
                <w:sz w:val="20"/>
              </w:rPr>
            </w:pPr>
          </w:p>
        </w:tc>
        <w:tc>
          <w:tcPr>
            <w:tcW w:w="7782" w:type="dxa"/>
            <w:tcBorders>
              <w:left w:val="nil"/>
              <w:right w:val="nil"/>
            </w:tcBorders>
          </w:tcPr>
          <w:p w:rsidR="00185091" w:rsidRPr="00CE6165" w:rsidRDefault="00185091" w:rsidP="004C7A67">
            <w:pPr>
              <w:rPr>
                <w:rFonts w:asciiTheme="majorBidi" w:hAnsiTheme="majorBidi" w:cstheme="majorBidi"/>
                <w:sz w:val="20"/>
              </w:rPr>
            </w:pPr>
            <w:r w:rsidRPr="00CE6165">
              <w:rPr>
                <w:rFonts w:asciiTheme="majorBidi" w:hAnsiTheme="majorBidi" w:cstheme="majorBidi"/>
                <w:sz w:val="20"/>
              </w:rPr>
              <w:t>D</w:t>
            </w:r>
            <w:r w:rsidR="005337FF" w:rsidRPr="00CE6165">
              <w:rPr>
                <w:rFonts w:asciiTheme="majorBidi" w:hAnsiTheme="majorBidi" w:cstheme="majorBidi"/>
                <w:sz w:val="20"/>
              </w:rPr>
              <w:t>rug</w:t>
            </w:r>
            <w:r w:rsidR="00474A6B" w:rsidRPr="00CE6165">
              <w:rPr>
                <w:rFonts w:asciiTheme="majorBidi" w:hAnsiTheme="majorBidi" w:cstheme="majorBidi"/>
                <w:sz w:val="20"/>
              </w:rPr>
              <w:t xml:space="preserve">            </w:t>
            </w:r>
            <w:r w:rsidRPr="00CE6165">
              <w:rPr>
                <w:rFonts w:asciiTheme="majorBidi" w:hAnsiTheme="majorBidi" w:cstheme="majorBidi"/>
                <w:sz w:val="20"/>
              </w:rPr>
              <w:t xml:space="preserve">post- test (j)                    7.58                            </w:t>
            </w:r>
            <w:r w:rsidR="004C7A67" w:rsidRPr="00CE6165">
              <w:rPr>
                <w:rFonts w:asciiTheme="majorBidi" w:hAnsiTheme="majorBidi" w:cstheme="majorBidi"/>
                <w:sz w:val="20"/>
              </w:rPr>
              <w:t xml:space="preserve">     </w:t>
            </w:r>
            <w:r w:rsidRPr="00CE6165">
              <w:rPr>
                <w:rFonts w:asciiTheme="majorBidi" w:hAnsiTheme="majorBidi" w:cstheme="majorBidi"/>
                <w:sz w:val="20"/>
              </w:rPr>
              <w:t>3.78                   0.07</w:t>
            </w:r>
          </w:p>
        </w:tc>
      </w:tr>
      <w:tr w:rsidR="00185091" w:rsidRPr="00CE6165" w:rsidTr="00E05CA5">
        <w:trPr>
          <w:trHeight w:val="341"/>
        </w:trPr>
        <w:tc>
          <w:tcPr>
            <w:tcW w:w="1558" w:type="dxa"/>
            <w:vMerge w:val="restart"/>
            <w:tcBorders>
              <w:left w:val="nil"/>
              <w:right w:val="nil"/>
            </w:tcBorders>
          </w:tcPr>
          <w:p w:rsidR="00185091" w:rsidRPr="00CE6165" w:rsidRDefault="00185091" w:rsidP="00E05CA5">
            <w:pPr>
              <w:jc w:val="center"/>
              <w:rPr>
                <w:rFonts w:asciiTheme="majorBidi" w:hAnsiTheme="majorBidi" w:cstheme="majorBidi"/>
                <w:b/>
                <w:bCs/>
                <w:sz w:val="20"/>
              </w:rPr>
            </w:pPr>
          </w:p>
          <w:p w:rsidR="00185091" w:rsidRPr="00CE6165" w:rsidRDefault="00185091" w:rsidP="00474A6B">
            <w:pPr>
              <w:rPr>
                <w:rFonts w:asciiTheme="majorBidi" w:hAnsiTheme="majorBidi" w:cstheme="majorBidi"/>
                <w:b/>
                <w:bCs/>
                <w:sz w:val="20"/>
              </w:rPr>
            </w:pPr>
            <w:r w:rsidRPr="00CE6165">
              <w:rPr>
                <w:rFonts w:asciiTheme="majorBidi" w:hAnsiTheme="majorBidi" w:cstheme="majorBidi"/>
                <w:b/>
                <w:bCs/>
                <w:sz w:val="20"/>
              </w:rPr>
              <w:t>WW-II</w:t>
            </w:r>
          </w:p>
        </w:tc>
        <w:tc>
          <w:tcPr>
            <w:tcW w:w="7782" w:type="dxa"/>
            <w:tcBorders>
              <w:left w:val="nil"/>
              <w:right w:val="nil"/>
            </w:tcBorders>
          </w:tcPr>
          <w:p w:rsidR="00185091" w:rsidRPr="00CE6165" w:rsidRDefault="00185091" w:rsidP="004C7A67">
            <w:pPr>
              <w:rPr>
                <w:rFonts w:asciiTheme="majorBidi" w:hAnsiTheme="majorBidi" w:cstheme="majorBidi"/>
                <w:sz w:val="20"/>
              </w:rPr>
            </w:pPr>
            <w:r w:rsidRPr="00CE6165">
              <w:rPr>
                <w:rFonts w:asciiTheme="majorBidi" w:hAnsiTheme="majorBidi" w:cstheme="majorBidi"/>
                <w:sz w:val="20"/>
              </w:rPr>
              <w:t>CBT-IU        Pre-test (</w:t>
            </w:r>
            <w:proofErr w:type="spellStart"/>
            <w:r w:rsidRPr="00CE6165">
              <w:rPr>
                <w:rFonts w:asciiTheme="majorBidi" w:hAnsiTheme="majorBidi" w:cstheme="majorBidi"/>
                <w:sz w:val="20"/>
              </w:rPr>
              <w:t>i</w:t>
            </w:r>
            <w:proofErr w:type="spellEnd"/>
            <w:r w:rsidRPr="00CE6165">
              <w:rPr>
                <w:rFonts w:asciiTheme="majorBidi" w:hAnsiTheme="majorBidi" w:cstheme="majorBidi"/>
                <w:sz w:val="20"/>
              </w:rPr>
              <w:t xml:space="preserve">)                     24.91                             </w:t>
            </w:r>
            <w:r w:rsidR="004C7A67" w:rsidRPr="00CE6165">
              <w:rPr>
                <w:rFonts w:asciiTheme="majorBidi" w:hAnsiTheme="majorBidi" w:cstheme="majorBidi"/>
                <w:sz w:val="20"/>
              </w:rPr>
              <w:t xml:space="preserve">  </w:t>
            </w:r>
            <w:r w:rsidRPr="00CE6165">
              <w:rPr>
                <w:rFonts w:asciiTheme="majorBidi" w:hAnsiTheme="majorBidi" w:cstheme="majorBidi"/>
                <w:sz w:val="20"/>
              </w:rPr>
              <w:t>2.54                   0.000</w:t>
            </w:r>
          </w:p>
        </w:tc>
      </w:tr>
      <w:tr w:rsidR="00185091" w:rsidRPr="00CE6165" w:rsidTr="00D512DA">
        <w:trPr>
          <w:trHeight w:val="351"/>
        </w:trPr>
        <w:tc>
          <w:tcPr>
            <w:tcW w:w="1558" w:type="dxa"/>
            <w:vMerge/>
            <w:tcBorders>
              <w:left w:val="nil"/>
              <w:right w:val="nil"/>
            </w:tcBorders>
            <w:vAlign w:val="center"/>
          </w:tcPr>
          <w:p w:rsidR="00185091" w:rsidRPr="00CE6165" w:rsidRDefault="00185091" w:rsidP="00D512DA">
            <w:pPr>
              <w:jc w:val="center"/>
              <w:rPr>
                <w:rFonts w:asciiTheme="majorBidi" w:hAnsiTheme="majorBidi" w:cstheme="majorBidi"/>
                <w:b/>
                <w:bCs/>
                <w:sz w:val="20"/>
              </w:rPr>
            </w:pPr>
          </w:p>
        </w:tc>
        <w:tc>
          <w:tcPr>
            <w:tcW w:w="7782" w:type="dxa"/>
            <w:tcBorders>
              <w:left w:val="nil"/>
              <w:right w:val="nil"/>
            </w:tcBorders>
          </w:tcPr>
          <w:p w:rsidR="00185091" w:rsidRPr="00CE6165" w:rsidRDefault="00185091" w:rsidP="004C7A67">
            <w:pPr>
              <w:rPr>
                <w:rFonts w:asciiTheme="majorBidi" w:hAnsiTheme="majorBidi" w:cstheme="majorBidi"/>
                <w:sz w:val="20"/>
              </w:rPr>
            </w:pPr>
            <w:r w:rsidRPr="00CE6165">
              <w:rPr>
                <w:rFonts w:asciiTheme="majorBidi" w:hAnsiTheme="majorBidi" w:cstheme="majorBidi"/>
                <w:sz w:val="20"/>
              </w:rPr>
              <w:t>D</w:t>
            </w:r>
            <w:r w:rsidR="005337FF" w:rsidRPr="00CE6165">
              <w:rPr>
                <w:rFonts w:asciiTheme="majorBidi" w:hAnsiTheme="majorBidi" w:cstheme="majorBidi"/>
                <w:sz w:val="20"/>
              </w:rPr>
              <w:t>rug</w:t>
            </w:r>
            <w:r w:rsidRPr="00CE6165">
              <w:rPr>
                <w:rFonts w:asciiTheme="majorBidi" w:hAnsiTheme="majorBidi" w:cstheme="majorBidi"/>
                <w:sz w:val="20"/>
              </w:rPr>
              <w:t xml:space="preserve">         </w:t>
            </w:r>
            <w:r w:rsidR="00474A6B" w:rsidRPr="00CE6165">
              <w:rPr>
                <w:rFonts w:asciiTheme="majorBidi" w:hAnsiTheme="majorBidi" w:cstheme="majorBidi"/>
                <w:sz w:val="20"/>
              </w:rPr>
              <w:t xml:space="preserve">    </w:t>
            </w:r>
            <w:r w:rsidRPr="00CE6165">
              <w:rPr>
                <w:rFonts w:asciiTheme="majorBidi" w:hAnsiTheme="majorBidi" w:cstheme="majorBidi"/>
                <w:sz w:val="20"/>
              </w:rPr>
              <w:t xml:space="preserve">post- test (j)                   10.16                            </w:t>
            </w:r>
            <w:r w:rsidR="004C7A67" w:rsidRPr="00CE6165">
              <w:rPr>
                <w:rFonts w:asciiTheme="majorBidi" w:hAnsiTheme="majorBidi" w:cstheme="majorBidi"/>
                <w:sz w:val="20"/>
              </w:rPr>
              <w:t xml:space="preserve">  </w:t>
            </w:r>
            <w:r w:rsidRPr="00CE6165">
              <w:rPr>
                <w:rFonts w:asciiTheme="majorBidi" w:hAnsiTheme="majorBidi" w:cstheme="majorBidi"/>
                <w:sz w:val="20"/>
              </w:rPr>
              <w:t>6.84                    0.000</w:t>
            </w:r>
          </w:p>
        </w:tc>
      </w:tr>
      <w:tr w:rsidR="00185091" w:rsidRPr="00CE6165" w:rsidTr="00E628A7">
        <w:trPr>
          <w:trHeight w:val="363"/>
        </w:trPr>
        <w:tc>
          <w:tcPr>
            <w:tcW w:w="1558" w:type="dxa"/>
            <w:vMerge w:val="restart"/>
            <w:tcBorders>
              <w:left w:val="nil"/>
              <w:right w:val="nil"/>
            </w:tcBorders>
            <w:vAlign w:val="bottom"/>
          </w:tcPr>
          <w:p w:rsidR="005337FF" w:rsidRPr="00CE6165" w:rsidRDefault="005337FF" w:rsidP="00E628A7">
            <w:pPr>
              <w:jc w:val="center"/>
              <w:rPr>
                <w:rFonts w:asciiTheme="majorBidi" w:hAnsiTheme="majorBidi" w:cstheme="majorBidi"/>
                <w:b/>
                <w:bCs/>
                <w:sz w:val="20"/>
              </w:rPr>
            </w:pPr>
          </w:p>
          <w:p w:rsidR="00185091" w:rsidRPr="00CE6165" w:rsidRDefault="00185091" w:rsidP="00474A6B">
            <w:pPr>
              <w:rPr>
                <w:rFonts w:asciiTheme="majorBidi" w:hAnsiTheme="majorBidi" w:cstheme="majorBidi"/>
                <w:b/>
                <w:bCs/>
                <w:sz w:val="20"/>
              </w:rPr>
            </w:pPr>
            <w:r w:rsidRPr="00CE6165">
              <w:rPr>
                <w:rFonts w:asciiTheme="majorBidi" w:hAnsiTheme="majorBidi" w:cstheme="majorBidi"/>
                <w:b/>
                <w:bCs/>
                <w:sz w:val="20"/>
              </w:rPr>
              <w:t>NPOQ</w:t>
            </w:r>
          </w:p>
          <w:p w:rsidR="00185091" w:rsidRPr="00CE6165" w:rsidRDefault="00185091" w:rsidP="00E628A7">
            <w:pPr>
              <w:jc w:val="center"/>
              <w:rPr>
                <w:rFonts w:asciiTheme="majorBidi" w:hAnsiTheme="majorBidi" w:cstheme="majorBidi"/>
                <w:b/>
                <w:bCs/>
                <w:sz w:val="20"/>
              </w:rPr>
            </w:pPr>
          </w:p>
        </w:tc>
        <w:tc>
          <w:tcPr>
            <w:tcW w:w="7782" w:type="dxa"/>
            <w:tcBorders>
              <w:left w:val="nil"/>
              <w:right w:val="nil"/>
            </w:tcBorders>
          </w:tcPr>
          <w:p w:rsidR="00185091" w:rsidRPr="00CE6165" w:rsidRDefault="00474A6B" w:rsidP="004C7A67">
            <w:pPr>
              <w:rPr>
                <w:rFonts w:asciiTheme="majorBidi" w:hAnsiTheme="majorBidi" w:cstheme="majorBidi"/>
                <w:sz w:val="20"/>
              </w:rPr>
            </w:pPr>
            <w:r w:rsidRPr="00CE6165">
              <w:rPr>
                <w:rFonts w:asciiTheme="majorBidi" w:hAnsiTheme="majorBidi" w:cstheme="majorBidi"/>
                <w:sz w:val="20"/>
              </w:rPr>
              <w:t xml:space="preserve">CBT-IU        </w:t>
            </w:r>
            <w:r w:rsidR="00185091" w:rsidRPr="00CE6165">
              <w:rPr>
                <w:rFonts w:asciiTheme="majorBidi" w:hAnsiTheme="majorBidi" w:cstheme="majorBidi"/>
                <w:sz w:val="20"/>
              </w:rPr>
              <w:t>Pre-test  (</w:t>
            </w:r>
            <w:proofErr w:type="spellStart"/>
            <w:r w:rsidR="00185091" w:rsidRPr="00CE6165">
              <w:rPr>
                <w:rFonts w:asciiTheme="majorBidi" w:hAnsiTheme="majorBidi" w:cstheme="majorBidi"/>
                <w:sz w:val="20"/>
              </w:rPr>
              <w:t>i</w:t>
            </w:r>
            <w:proofErr w:type="spellEnd"/>
            <w:r w:rsidR="00185091" w:rsidRPr="00CE6165">
              <w:rPr>
                <w:rFonts w:asciiTheme="majorBidi" w:hAnsiTheme="majorBidi" w:cstheme="majorBidi"/>
                <w:sz w:val="20"/>
              </w:rPr>
              <w:t xml:space="preserve">)                   </w:t>
            </w:r>
            <w:r w:rsidRPr="00CE6165">
              <w:rPr>
                <w:rFonts w:asciiTheme="majorBidi" w:hAnsiTheme="majorBidi" w:cstheme="majorBidi"/>
                <w:sz w:val="20"/>
              </w:rPr>
              <w:t xml:space="preserve"> </w:t>
            </w:r>
            <w:r w:rsidR="00185091" w:rsidRPr="00CE6165">
              <w:rPr>
                <w:rFonts w:asciiTheme="majorBidi" w:hAnsiTheme="majorBidi" w:cstheme="majorBidi"/>
                <w:sz w:val="20"/>
              </w:rPr>
              <w:t xml:space="preserve">17.58                             </w:t>
            </w:r>
            <w:r w:rsidR="004C7A67" w:rsidRPr="00CE6165">
              <w:rPr>
                <w:rFonts w:asciiTheme="majorBidi" w:hAnsiTheme="majorBidi" w:cstheme="majorBidi"/>
                <w:sz w:val="20"/>
              </w:rPr>
              <w:t xml:space="preserve"> </w:t>
            </w:r>
            <w:r w:rsidR="00185091" w:rsidRPr="00CE6165">
              <w:rPr>
                <w:rFonts w:asciiTheme="majorBidi" w:hAnsiTheme="majorBidi" w:cstheme="majorBidi"/>
                <w:sz w:val="20"/>
              </w:rPr>
              <w:t>2.06                    0.000</w:t>
            </w:r>
          </w:p>
        </w:tc>
      </w:tr>
      <w:tr w:rsidR="00185091" w:rsidRPr="00CE6165" w:rsidTr="00D512DA">
        <w:trPr>
          <w:trHeight w:val="329"/>
        </w:trPr>
        <w:tc>
          <w:tcPr>
            <w:tcW w:w="1558" w:type="dxa"/>
            <w:vMerge/>
            <w:tcBorders>
              <w:left w:val="nil"/>
              <w:right w:val="nil"/>
            </w:tcBorders>
          </w:tcPr>
          <w:p w:rsidR="00185091" w:rsidRPr="00CE6165" w:rsidRDefault="00185091" w:rsidP="00D512DA">
            <w:pPr>
              <w:rPr>
                <w:rFonts w:asciiTheme="majorBidi" w:hAnsiTheme="majorBidi" w:cstheme="majorBidi"/>
                <w:sz w:val="20"/>
              </w:rPr>
            </w:pPr>
          </w:p>
        </w:tc>
        <w:tc>
          <w:tcPr>
            <w:tcW w:w="7782" w:type="dxa"/>
            <w:tcBorders>
              <w:left w:val="nil"/>
              <w:right w:val="nil"/>
            </w:tcBorders>
          </w:tcPr>
          <w:p w:rsidR="00185091" w:rsidRPr="00CE6165" w:rsidRDefault="00185091" w:rsidP="004C7A67">
            <w:pPr>
              <w:rPr>
                <w:rFonts w:asciiTheme="majorBidi" w:hAnsiTheme="majorBidi" w:cstheme="majorBidi"/>
                <w:sz w:val="20"/>
              </w:rPr>
            </w:pPr>
            <w:r w:rsidRPr="00CE6165">
              <w:rPr>
                <w:rFonts w:asciiTheme="majorBidi" w:hAnsiTheme="majorBidi" w:cstheme="majorBidi"/>
                <w:sz w:val="20"/>
              </w:rPr>
              <w:t>D</w:t>
            </w:r>
            <w:r w:rsidR="005337FF" w:rsidRPr="00CE6165">
              <w:rPr>
                <w:rFonts w:asciiTheme="majorBidi" w:hAnsiTheme="majorBidi" w:cstheme="majorBidi"/>
                <w:sz w:val="20"/>
              </w:rPr>
              <w:t>rug</w:t>
            </w:r>
            <w:r w:rsidRPr="00CE6165">
              <w:rPr>
                <w:rFonts w:asciiTheme="majorBidi" w:hAnsiTheme="majorBidi" w:cstheme="majorBidi"/>
                <w:sz w:val="20"/>
              </w:rPr>
              <w:t xml:space="preserve">          </w:t>
            </w:r>
            <w:r w:rsidR="00474A6B" w:rsidRPr="00CE6165">
              <w:rPr>
                <w:rFonts w:asciiTheme="majorBidi" w:hAnsiTheme="majorBidi" w:cstheme="majorBidi"/>
                <w:sz w:val="20"/>
              </w:rPr>
              <w:t xml:space="preserve">   </w:t>
            </w:r>
            <w:r w:rsidRPr="00CE6165">
              <w:rPr>
                <w:rFonts w:asciiTheme="majorBidi" w:hAnsiTheme="majorBidi" w:cstheme="majorBidi"/>
                <w:sz w:val="20"/>
              </w:rPr>
              <w:t xml:space="preserve">post- test (j)                  </w:t>
            </w:r>
            <w:r w:rsidR="00474A6B" w:rsidRPr="00CE6165">
              <w:rPr>
                <w:rFonts w:asciiTheme="majorBidi" w:hAnsiTheme="majorBidi" w:cstheme="majorBidi"/>
                <w:sz w:val="20"/>
              </w:rPr>
              <w:t xml:space="preserve"> </w:t>
            </w:r>
            <w:r w:rsidRPr="00CE6165">
              <w:rPr>
                <w:rFonts w:asciiTheme="majorBidi" w:hAnsiTheme="majorBidi" w:cstheme="majorBidi"/>
                <w:sz w:val="20"/>
              </w:rPr>
              <w:t xml:space="preserve">6.25                              </w:t>
            </w:r>
            <w:r w:rsidR="004C7A67" w:rsidRPr="00CE6165">
              <w:rPr>
                <w:rFonts w:asciiTheme="majorBidi" w:hAnsiTheme="majorBidi" w:cstheme="majorBidi"/>
                <w:sz w:val="20"/>
              </w:rPr>
              <w:t xml:space="preserve"> </w:t>
            </w:r>
            <w:r w:rsidRPr="00CE6165">
              <w:rPr>
                <w:rFonts w:asciiTheme="majorBidi" w:hAnsiTheme="majorBidi" w:cstheme="majorBidi"/>
                <w:sz w:val="20"/>
              </w:rPr>
              <w:t xml:space="preserve"> 2.97                    0.06</w:t>
            </w:r>
          </w:p>
        </w:tc>
      </w:tr>
    </w:tbl>
    <w:p w:rsidR="00185091" w:rsidRPr="00CE6165" w:rsidRDefault="00185091" w:rsidP="00AC6DC8">
      <w:pPr>
        <w:rPr>
          <w:rFonts w:asciiTheme="majorBidi" w:hAnsiTheme="majorBidi" w:cstheme="majorBidi"/>
          <w:sz w:val="20"/>
        </w:rPr>
      </w:pPr>
      <w:r w:rsidRPr="00CE6165">
        <w:rPr>
          <w:rFonts w:asciiTheme="majorBidi" w:hAnsiTheme="majorBidi" w:cstheme="majorBidi"/>
          <w:szCs w:val="22"/>
        </w:rPr>
        <w:t xml:space="preserve">Notes: </w:t>
      </w:r>
      <w:r w:rsidRPr="00CE6165">
        <w:rPr>
          <w:rFonts w:asciiTheme="majorBidi" w:hAnsiTheme="majorBidi" w:cstheme="majorBidi"/>
          <w:sz w:val="20"/>
        </w:rPr>
        <w:t>CBT-IU=</w:t>
      </w:r>
      <w:r w:rsidRPr="00CE6165">
        <w:rPr>
          <w:rFonts w:asciiTheme="majorBidi" w:hAnsiTheme="majorBidi" w:cstheme="majorBidi"/>
          <w:szCs w:val="22"/>
        </w:rPr>
        <w:t xml:space="preserve"> </w:t>
      </w:r>
      <w:r w:rsidRPr="00CE6165">
        <w:rPr>
          <w:rFonts w:asciiTheme="majorBidi" w:hAnsiTheme="majorBidi" w:cstheme="majorBidi"/>
          <w:sz w:val="20"/>
        </w:rPr>
        <w:t xml:space="preserve">cognitive </w:t>
      </w:r>
      <w:r w:rsidRPr="00CE6165">
        <w:rPr>
          <w:rFonts w:asciiTheme="majorBidi" w:hAnsiTheme="majorBidi" w:cstheme="majorBidi"/>
          <w:b/>
          <w:sz w:val="20"/>
        </w:rPr>
        <w:t>-</w:t>
      </w:r>
      <w:r w:rsidRPr="00CE6165">
        <w:rPr>
          <w:rFonts w:asciiTheme="majorBidi" w:hAnsiTheme="majorBidi" w:cstheme="majorBidi"/>
          <w:sz w:val="20"/>
        </w:rPr>
        <w:t xml:space="preserve">Behavior Therapy </w:t>
      </w:r>
      <w:r w:rsidR="00AC6DC8" w:rsidRPr="00CE6165">
        <w:rPr>
          <w:rFonts w:asciiTheme="majorBidi" w:hAnsiTheme="majorBidi" w:cstheme="majorBidi"/>
          <w:sz w:val="20"/>
        </w:rPr>
        <w:t>focused on</w:t>
      </w:r>
      <w:r w:rsidRPr="00CE6165">
        <w:rPr>
          <w:rFonts w:asciiTheme="majorBidi" w:hAnsiTheme="majorBidi" w:cstheme="majorBidi"/>
          <w:sz w:val="20"/>
        </w:rPr>
        <w:t xml:space="preserve"> Intolerance of Uncertainty</w:t>
      </w:r>
      <w:r w:rsidRPr="00CE6165">
        <w:rPr>
          <w:rFonts w:asciiTheme="majorBidi" w:hAnsiTheme="majorBidi" w:cstheme="majorBidi" w:hint="cs"/>
          <w:sz w:val="20"/>
          <w:rtl/>
          <w:lang w:bidi="fa-IR"/>
        </w:rPr>
        <w:t>;</w:t>
      </w:r>
      <w:r w:rsidRPr="00CE6165">
        <w:rPr>
          <w:rFonts w:asciiTheme="majorBidi" w:hAnsiTheme="majorBidi" w:cstheme="majorBidi"/>
          <w:sz w:val="20"/>
          <w:lang w:bidi="fa-IR"/>
        </w:rPr>
        <w:t xml:space="preserve"> </w:t>
      </w:r>
      <w:r w:rsidRPr="00CE6165">
        <w:rPr>
          <w:rFonts w:asciiTheme="majorBidi" w:hAnsiTheme="majorBidi" w:cstheme="majorBidi"/>
          <w:sz w:val="20"/>
        </w:rPr>
        <w:t>PSWQ = Penn State Worry Questionnaire; WW-II= Why Worry-II; NPOQ</w:t>
      </w:r>
      <w:r w:rsidRPr="00CE6165">
        <w:rPr>
          <w:rFonts w:asciiTheme="majorBidi" w:hAnsiTheme="majorBidi" w:cstheme="majorBidi"/>
          <w:sz w:val="18"/>
          <w:szCs w:val="18"/>
        </w:rPr>
        <w:t>=</w:t>
      </w:r>
      <w:r w:rsidRPr="00CE6165">
        <w:rPr>
          <w:rFonts w:asciiTheme="majorBidi" w:hAnsiTheme="majorBidi" w:cstheme="majorBidi"/>
          <w:sz w:val="20"/>
        </w:rPr>
        <w:t xml:space="preserve"> Negative Problem Orientation Questionnaire</w:t>
      </w:r>
    </w:p>
    <w:p w:rsidR="00185091" w:rsidRPr="00CE6165" w:rsidRDefault="00185091" w:rsidP="00474A6B">
      <w:pPr>
        <w:spacing w:before="100" w:beforeAutospacing="1" w:after="100" w:afterAutospacing="1" w:line="276" w:lineRule="auto"/>
        <w:jc w:val="both"/>
        <w:rPr>
          <w:rFonts w:asciiTheme="majorBidi" w:eastAsia="Calibri" w:hAnsiTheme="majorBidi" w:cstheme="majorBidi"/>
          <w:b/>
          <w:sz w:val="24"/>
          <w:szCs w:val="24"/>
        </w:rPr>
      </w:pPr>
      <w:r w:rsidRPr="00CE6165">
        <w:rPr>
          <w:rFonts w:asciiTheme="majorBidi" w:hAnsiTheme="majorBidi" w:cstheme="majorBidi"/>
          <w:sz w:val="24"/>
          <w:szCs w:val="24"/>
        </w:rPr>
        <w:t xml:space="preserve">Results </w:t>
      </w:r>
      <w:r w:rsidR="00474A6B" w:rsidRPr="00CE6165">
        <w:rPr>
          <w:rFonts w:asciiTheme="majorBidi" w:hAnsiTheme="majorBidi" w:cstheme="majorBidi"/>
          <w:sz w:val="24"/>
          <w:szCs w:val="24"/>
        </w:rPr>
        <w:t>of</w:t>
      </w:r>
      <w:r w:rsidRPr="00CE6165">
        <w:rPr>
          <w:rFonts w:asciiTheme="majorBidi" w:hAnsiTheme="majorBidi" w:cstheme="majorBidi"/>
          <w:sz w:val="24"/>
          <w:szCs w:val="24"/>
        </w:rPr>
        <w:t xml:space="preserve"> Table 4 indicate that at level 0.05, means of cognitive-behavioral group are significantly different in two times (pretest and post-test), while such difference is not observed in </w:t>
      </w:r>
      <w:r w:rsidR="00EB3D5C" w:rsidRPr="00CE6165">
        <w:rPr>
          <w:rFonts w:asciiTheme="majorBidi" w:hAnsiTheme="majorBidi" w:cstheme="majorBidi"/>
          <w:sz w:val="24"/>
          <w:szCs w:val="24"/>
        </w:rPr>
        <w:t xml:space="preserve">Pharmacotherapy </w:t>
      </w:r>
      <w:r w:rsidRPr="00CE6165">
        <w:rPr>
          <w:rFonts w:asciiTheme="majorBidi" w:hAnsiTheme="majorBidi" w:cstheme="majorBidi"/>
          <w:sz w:val="24"/>
          <w:szCs w:val="24"/>
        </w:rPr>
        <w:t xml:space="preserve">group. Findings from data analysis showed that </w:t>
      </w:r>
      <w:r w:rsidR="00664272" w:rsidRPr="00CE6165">
        <w:rPr>
          <w:rFonts w:asciiTheme="majorBidi" w:hAnsiTheme="majorBidi" w:cstheme="majorBidi"/>
          <w:sz w:val="24"/>
          <w:szCs w:val="24"/>
        </w:rPr>
        <w:t>CBT-IU</w:t>
      </w:r>
      <w:r w:rsidRPr="00CE6165">
        <w:rPr>
          <w:rFonts w:asciiTheme="majorBidi" w:hAnsiTheme="majorBidi" w:cstheme="majorBidi"/>
          <w:sz w:val="24"/>
          <w:szCs w:val="24"/>
        </w:rPr>
        <w:t xml:space="preserve"> was significantly more effective on worry and negative problem orientation of patients with GAD compared to </w:t>
      </w:r>
      <w:r w:rsidR="00EB3D5C" w:rsidRPr="00CE6165">
        <w:rPr>
          <w:rFonts w:asciiTheme="majorBidi" w:hAnsiTheme="majorBidi" w:cstheme="majorBidi"/>
          <w:sz w:val="24"/>
          <w:szCs w:val="24"/>
        </w:rPr>
        <w:t>Pharmacotherapy</w:t>
      </w:r>
      <w:r w:rsidRPr="00CE6165">
        <w:rPr>
          <w:rFonts w:asciiTheme="majorBidi" w:hAnsiTheme="majorBidi" w:cstheme="majorBidi"/>
          <w:sz w:val="24"/>
          <w:szCs w:val="24"/>
        </w:rPr>
        <w:t>. But no significant difference was observed regarding positive beliefs about worry between two treatments and both showed identical effectiveness.</w:t>
      </w:r>
    </w:p>
    <w:p w:rsidR="00185091" w:rsidRPr="00CE6165" w:rsidRDefault="00C95C3A" w:rsidP="00E96131">
      <w:pPr>
        <w:spacing w:before="100" w:beforeAutospacing="1" w:after="100" w:afterAutospacing="1" w:line="276" w:lineRule="auto"/>
        <w:jc w:val="both"/>
        <w:rPr>
          <w:rFonts w:asciiTheme="majorBidi" w:eastAsia="Calibri" w:hAnsiTheme="majorBidi" w:cstheme="majorBidi"/>
          <w:b/>
          <w:sz w:val="28"/>
          <w:szCs w:val="28"/>
        </w:rPr>
      </w:pPr>
      <w:r w:rsidRPr="00CE6165">
        <w:rPr>
          <w:rFonts w:asciiTheme="majorBidi" w:hAnsiTheme="majorBidi" w:cstheme="majorBidi"/>
          <w:b/>
          <w:sz w:val="28"/>
          <w:szCs w:val="28"/>
        </w:rPr>
        <w:lastRenderedPageBreak/>
        <w:t>Discussion</w:t>
      </w:r>
    </w:p>
    <w:p w:rsidR="00185091" w:rsidRPr="00CE6165" w:rsidRDefault="00185091" w:rsidP="008259B2">
      <w:pPr>
        <w:spacing w:before="100" w:beforeAutospacing="1" w:after="100" w:afterAutospacing="1" w:line="276" w:lineRule="auto"/>
        <w:jc w:val="both"/>
        <w:rPr>
          <w:rFonts w:ascii="Times New Roman" w:eastAsia="Times New Roman" w:hAnsi="Times New Roman" w:cs="Times New Roman"/>
          <w:szCs w:val="22"/>
        </w:rPr>
      </w:pPr>
      <w:r w:rsidRPr="00CE6165">
        <w:rPr>
          <w:rFonts w:asciiTheme="majorBidi" w:hAnsiTheme="majorBidi" w:cstheme="majorBidi"/>
          <w:sz w:val="24"/>
          <w:szCs w:val="24"/>
        </w:rPr>
        <w:t xml:space="preserve">Current research was conducted aiming at comparing effectiveness of cognitive-behavior therapy focused on intolerance of uncertainty and </w:t>
      </w:r>
      <w:r w:rsidR="008259B2" w:rsidRPr="00CE6165">
        <w:rPr>
          <w:rFonts w:asciiTheme="majorBidi" w:hAnsiTheme="majorBidi" w:cstheme="majorBidi"/>
          <w:sz w:val="24"/>
          <w:szCs w:val="24"/>
        </w:rPr>
        <w:t>Pharmacotherapy</w:t>
      </w:r>
      <w:r w:rsidRPr="00CE6165">
        <w:rPr>
          <w:rFonts w:asciiTheme="majorBidi" w:hAnsiTheme="majorBidi" w:cstheme="majorBidi"/>
          <w:sz w:val="24"/>
          <w:szCs w:val="24"/>
        </w:rPr>
        <w:t xml:space="preserve">. It attempted to help treatment of </w:t>
      </w:r>
      <w:r w:rsidR="008259B2" w:rsidRPr="00CE6165">
        <w:rPr>
          <w:rFonts w:asciiTheme="majorBidi" w:hAnsiTheme="majorBidi" w:cstheme="majorBidi"/>
          <w:sz w:val="24"/>
          <w:szCs w:val="24"/>
        </w:rPr>
        <w:t>GAD</w:t>
      </w:r>
      <w:r w:rsidRPr="00CE6165">
        <w:rPr>
          <w:rFonts w:asciiTheme="majorBidi" w:hAnsiTheme="majorBidi" w:cstheme="majorBidi"/>
          <w:sz w:val="24"/>
          <w:szCs w:val="24"/>
        </w:rPr>
        <w:t xml:space="preserve"> through studying these two types of therapies to understand their effectiveness. Results of current research showed that there is significant difference between two types of therapies in terms </w:t>
      </w:r>
      <w:r w:rsidR="00664272" w:rsidRPr="00CE6165">
        <w:rPr>
          <w:rFonts w:asciiTheme="majorBidi" w:hAnsiTheme="majorBidi" w:cstheme="majorBidi"/>
          <w:sz w:val="24"/>
          <w:szCs w:val="24"/>
        </w:rPr>
        <w:t xml:space="preserve">of influence on level of worry. </w:t>
      </w:r>
      <w:r w:rsidRPr="00CE6165">
        <w:rPr>
          <w:rFonts w:asciiTheme="majorBidi" w:hAnsiTheme="majorBidi" w:cstheme="majorBidi"/>
          <w:sz w:val="24"/>
          <w:szCs w:val="24"/>
        </w:rPr>
        <w:t xml:space="preserve">That is, cognitive-behavior therapy focused on intolerance of uncertainty is more effective on worry level of patients with GAD than </w:t>
      </w:r>
      <w:r w:rsidR="008259B2" w:rsidRPr="00CE6165">
        <w:rPr>
          <w:rFonts w:asciiTheme="majorBidi" w:hAnsiTheme="majorBidi" w:cstheme="majorBidi"/>
          <w:sz w:val="24"/>
          <w:szCs w:val="24"/>
        </w:rPr>
        <w:t>Pharmacotherapy</w:t>
      </w:r>
      <w:r w:rsidRPr="00CE6165">
        <w:rPr>
          <w:rFonts w:asciiTheme="majorBidi" w:hAnsiTheme="majorBidi" w:cstheme="majorBidi"/>
          <w:sz w:val="24"/>
          <w:szCs w:val="24"/>
        </w:rPr>
        <w:t xml:space="preserve">. This finding is consistent with previous research works </w:t>
      </w:r>
      <w:r w:rsidR="00EA351A" w:rsidRPr="00CE6165">
        <w:rPr>
          <w:rFonts w:asciiTheme="majorBidi" w:hAnsiTheme="majorBidi" w:cstheme="majorBidi"/>
          <w:sz w:val="24"/>
          <w:szCs w:val="24"/>
        </w:rPr>
        <w:t>(</w:t>
      </w:r>
      <w:r w:rsidR="00EA351A" w:rsidRPr="00CE6165">
        <w:rPr>
          <w:rFonts w:ascii="Times New Roman" w:eastAsia="Times New Roman" w:hAnsi="Times New Roman" w:cs="Times New Roman"/>
          <w:szCs w:val="22"/>
        </w:rPr>
        <w:t>Hanrahan, Field, Jones</w:t>
      </w:r>
      <w:r w:rsidR="00D96286" w:rsidRPr="00CE6165">
        <w:rPr>
          <w:rFonts w:ascii="Times New Roman" w:eastAsia="Times New Roman" w:hAnsi="Times New Roman" w:cs="Times New Roman"/>
          <w:szCs w:val="22"/>
        </w:rPr>
        <w:t>, &amp;</w:t>
      </w:r>
      <w:r w:rsidR="00EA351A" w:rsidRPr="00CE6165">
        <w:rPr>
          <w:rFonts w:ascii="Times New Roman" w:eastAsia="Times New Roman" w:hAnsi="Times New Roman" w:cs="Times New Roman"/>
          <w:szCs w:val="22"/>
        </w:rPr>
        <w:t xml:space="preserve"> Davey</w:t>
      </w:r>
      <w:r w:rsidR="00D96286" w:rsidRPr="00CE6165">
        <w:rPr>
          <w:rFonts w:asciiTheme="majorBidi" w:hAnsiTheme="majorBidi" w:cstheme="majorBidi"/>
          <w:szCs w:val="22"/>
        </w:rPr>
        <w:t>, 2013</w:t>
      </w:r>
      <w:r w:rsidR="00EA351A" w:rsidRPr="00CE6165">
        <w:rPr>
          <w:rFonts w:asciiTheme="majorBidi" w:hAnsiTheme="majorBidi" w:cstheme="majorBidi"/>
          <w:szCs w:val="22"/>
        </w:rPr>
        <w:t>;</w:t>
      </w:r>
      <w:r w:rsidR="00EA351A" w:rsidRPr="00CE6165">
        <w:rPr>
          <w:rFonts w:ascii="Times New Roman" w:eastAsia="Times New Roman" w:hAnsi="Times New Roman" w:cs="Times New Roman"/>
          <w:szCs w:val="22"/>
        </w:rPr>
        <w:t xml:space="preserve"> Hebert, </w:t>
      </w:r>
      <w:proofErr w:type="spellStart"/>
      <w:r w:rsidR="00EA351A" w:rsidRPr="00CE6165">
        <w:rPr>
          <w:rFonts w:ascii="Times New Roman" w:eastAsia="Times New Roman" w:hAnsi="Times New Roman" w:cs="Times New Roman"/>
          <w:szCs w:val="22"/>
        </w:rPr>
        <w:t>Dugas</w:t>
      </w:r>
      <w:proofErr w:type="spellEnd"/>
      <w:r w:rsidR="00EA351A" w:rsidRPr="00CE6165">
        <w:rPr>
          <w:rFonts w:ascii="Times New Roman" w:eastAsia="Times New Roman" w:hAnsi="Times New Roman" w:cs="Times New Roman"/>
          <w:szCs w:val="22"/>
        </w:rPr>
        <w:t>, Tulloch, &amp;</w:t>
      </w:r>
      <w:proofErr w:type="spellStart"/>
      <w:r w:rsidR="00EA351A" w:rsidRPr="00CE6165">
        <w:rPr>
          <w:rFonts w:ascii="Times New Roman" w:eastAsia="Times New Roman" w:hAnsi="Times New Roman" w:cs="Times New Roman"/>
          <w:szCs w:val="22"/>
        </w:rPr>
        <w:t>Holowka</w:t>
      </w:r>
      <w:proofErr w:type="spellEnd"/>
      <w:r w:rsidR="00D96286" w:rsidRPr="00CE6165">
        <w:rPr>
          <w:rFonts w:ascii="Times New Roman" w:eastAsia="Times New Roman" w:hAnsi="Times New Roman" w:cs="Times New Roman"/>
          <w:szCs w:val="22"/>
        </w:rPr>
        <w:t>, 2014</w:t>
      </w:r>
      <w:r w:rsidR="00EA351A" w:rsidRPr="00CE6165">
        <w:rPr>
          <w:rFonts w:ascii="Times New Roman" w:eastAsia="Times New Roman" w:hAnsi="Times New Roman" w:cs="Times New Roman"/>
          <w:szCs w:val="22"/>
        </w:rPr>
        <w:t xml:space="preserve">; </w:t>
      </w:r>
      <w:proofErr w:type="spellStart"/>
      <w:r w:rsidR="00D96286" w:rsidRPr="00CE6165">
        <w:rPr>
          <w:rFonts w:ascii="Times New Roman" w:eastAsia="Times New Roman" w:hAnsi="Times New Roman" w:cs="Times New Roman"/>
          <w:szCs w:val="22"/>
        </w:rPr>
        <w:t>Covin</w:t>
      </w:r>
      <w:proofErr w:type="spellEnd"/>
      <w:r w:rsidR="00D96286" w:rsidRPr="00CE6165">
        <w:rPr>
          <w:rFonts w:ascii="Times New Roman" w:eastAsia="Times New Roman" w:hAnsi="Times New Roman" w:cs="Times New Roman"/>
          <w:szCs w:val="22"/>
        </w:rPr>
        <w:t xml:space="preserve">, </w:t>
      </w:r>
      <w:proofErr w:type="spellStart"/>
      <w:r w:rsidR="00D96286" w:rsidRPr="00CE6165">
        <w:rPr>
          <w:rFonts w:ascii="Times New Roman" w:eastAsia="Times New Roman" w:hAnsi="Times New Roman" w:cs="Times New Roman"/>
          <w:szCs w:val="22"/>
        </w:rPr>
        <w:t>Ouimet</w:t>
      </w:r>
      <w:proofErr w:type="spellEnd"/>
      <w:r w:rsidR="00D96286" w:rsidRPr="00CE6165">
        <w:rPr>
          <w:rFonts w:ascii="Times New Roman" w:eastAsia="Times New Roman" w:hAnsi="Times New Roman" w:cs="Times New Roman"/>
          <w:szCs w:val="22"/>
        </w:rPr>
        <w:t xml:space="preserve">, Seeds, &amp; </w:t>
      </w:r>
      <w:proofErr w:type="spellStart"/>
      <w:r w:rsidR="00D96286" w:rsidRPr="00CE6165">
        <w:rPr>
          <w:rFonts w:ascii="Times New Roman" w:eastAsia="Times New Roman" w:hAnsi="Times New Roman" w:cs="Times New Roman"/>
          <w:szCs w:val="22"/>
        </w:rPr>
        <w:t>Dozois</w:t>
      </w:r>
      <w:proofErr w:type="spellEnd"/>
      <w:r w:rsidR="00D96286" w:rsidRPr="00CE6165">
        <w:rPr>
          <w:rFonts w:ascii="Times New Roman" w:eastAsia="Times New Roman" w:hAnsi="Times New Roman" w:cs="Times New Roman"/>
          <w:szCs w:val="22"/>
        </w:rPr>
        <w:t>, 2008</w:t>
      </w:r>
      <w:r w:rsidR="00D96286" w:rsidRPr="00CE6165">
        <w:rPr>
          <w:rFonts w:ascii="Times New Roman" w:eastAsia="Times New Roman" w:hAnsi="Times New Roman" w:cs="Times New Roman"/>
          <w:sz w:val="20"/>
        </w:rPr>
        <w:t>)</w:t>
      </w:r>
      <w:r w:rsidRPr="00CE6165">
        <w:rPr>
          <w:rFonts w:asciiTheme="majorBidi" w:hAnsiTheme="majorBidi" w:cstheme="majorBidi"/>
          <w:sz w:val="24"/>
          <w:szCs w:val="24"/>
        </w:rPr>
        <w:t xml:space="preserve">. These studies indicated that cognitive-behavior therapy focused on intolerance of uncertainty (CBT-IU) was effective on reduction of worry in patients with GAD. In addition, according to findings by </w:t>
      </w:r>
      <w:proofErr w:type="spellStart"/>
      <w:r w:rsidRPr="00CE6165">
        <w:rPr>
          <w:rFonts w:asciiTheme="majorBidi" w:hAnsiTheme="majorBidi" w:cstheme="majorBidi"/>
          <w:sz w:val="24"/>
          <w:szCs w:val="24"/>
        </w:rPr>
        <w:t>Lelra</w:t>
      </w:r>
      <w:proofErr w:type="spellEnd"/>
      <w:r w:rsidRPr="00CE6165">
        <w:rPr>
          <w:rFonts w:asciiTheme="majorBidi" w:hAnsiTheme="majorBidi" w:cstheme="majorBidi"/>
          <w:sz w:val="24"/>
          <w:szCs w:val="24"/>
        </w:rPr>
        <w:t xml:space="preserve"> and Newman, patients with GAD use worry for coping with negative events </w:t>
      </w:r>
      <w:r w:rsidR="00D96286" w:rsidRPr="00CE6165">
        <w:rPr>
          <w:rFonts w:asciiTheme="majorBidi" w:hAnsiTheme="majorBidi" w:cstheme="majorBidi"/>
          <w:sz w:val="24"/>
          <w:szCs w:val="24"/>
        </w:rPr>
        <w:t>(</w:t>
      </w:r>
      <w:proofErr w:type="spellStart"/>
      <w:r w:rsidR="00D96286" w:rsidRPr="00CE6165">
        <w:rPr>
          <w:rFonts w:ascii="Times New Roman" w:eastAsia="Times New Roman" w:hAnsi="Times New Roman" w:cs="Times New Roman"/>
          <w:szCs w:val="22"/>
        </w:rPr>
        <w:t>Llera</w:t>
      </w:r>
      <w:proofErr w:type="spellEnd"/>
      <w:r w:rsidR="00D96286" w:rsidRPr="00CE6165">
        <w:rPr>
          <w:rFonts w:ascii="Times New Roman" w:eastAsia="Times New Roman" w:hAnsi="Times New Roman" w:cs="Times New Roman"/>
          <w:szCs w:val="22"/>
        </w:rPr>
        <w:t xml:space="preserve"> &amp; Newman, 2014)</w:t>
      </w:r>
      <w:r w:rsidRPr="00CE6165">
        <w:rPr>
          <w:rFonts w:ascii="Times New Roman" w:eastAsia="Times New Roman" w:hAnsi="Times New Roman" w:cs="Times New Roman"/>
          <w:szCs w:val="22"/>
        </w:rPr>
        <w:t xml:space="preserve">. </w:t>
      </w:r>
    </w:p>
    <w:p w:rsidR="00185091" w:rsidRPr="00CE6165" w:rsidRDefault="00185091" w:rsidP="008259B2">
      <w:pPr>
        <w:tabs>
          <w:tab w:val="left" w:pos="8491"/>
        </w:tabs>
        <w:spacing w:before="100" w:beforeAutospacing="1" w:after="100" w:afterAutospacing="1" w:line="276" w:lineRule="auto"/>
        <w:jc w:val="both"/>
        <w:rPr>
          <w:rFonts w:asciiTheme="majorBidi" w:eastAsia="Calibri" w:hAnsiTheme="majorBidi" w:cstheme="majorBidi"/>
          <w:sz w:val="24"/>
          <w:szCs w:val="24"/>
        </w:rPr>
      </w:pPr>
      <w:r w:rsidRPr="00CE6165">
        <w:rPr>
          <w:rFonts w:asciiTheme="majorBidi" w:hAnsiTheme="majorBidi" w:cstheme="majorBidi"/>
          <w:sz w:val="24"/>
          <w:szCs w:val="24"/>
        </w:rPr>
        <w:t xml:space="preserve">Concerning positive beliefs about worry, findings indicate that there is no significant difference between two types of therapies in terms of effectiveness on positive beliefs about worry. Therefore, both methods had similar functioning concerning positive beliefs. Findings of current research are inconsistent with findings of previous works </w:t>
      </w:r>
      <w:r w:rsidR="000447DB" w:rsidRPr="00CE6165">
        <w:rPr>
          <w:rFonts w:asciiTheme="majorBidi" w:hAnsiTheme="majorBidi" w:cstheme="majorBidi"/>
          <w:sz w:val="24"/>
          <w:szCs w:val="24"/>
        </w:rPr>
        <w:t>(</w:t>
      </w:r>
      <w:proofErr w:type="spellStart"/>
      <w:r w:rsidR="000447DB" w:rsidRPr="00CE6165">
        <w:rPr>
          <w:rFonts w:asciiTheme="majorBidi" w:hAnsiTheme="majorBidi" w:cstheme="majorBidi"/>
          <w:szCs w:val="22"/>
        </w:rPr>
        <w:t>Dugas</w:t>
      </w:r>
      <w:proofErr w:type="spellEnd"/>
      <w:r w:rsidR="000447DB" w:rsidRPr="00CE6165">
        <w:rPr>
          <w:rFonts w:asciiTheme="majorBidi" w:hAnsiTheme="majorBidi" w:cstheme="majorBidi"/>
          <w:szCs w:val="22"/>
        </w:rPr>
        <w:t xml:space="preserve">&amp; </w:t>
      </w:r>
      <w:proofErr w:type="spellStart"/>
      <w:r w:rsidR="000447DB" w:rsidRPr="00CE6165">
        <w:rPr>
          <w:rFonts w:asciiTheme="majorBidi" w:hAnsiTheme="majorBidi" w:cstheme="majorBidi"/>
          <w:szCs w:val="22"/>
        </w:rPr>
        <w:t>Robichaud</w:t>
      </w:r>
      <w:proofErr w:type="spellEnd"/>
      <w:r w:rsidR="000447DB" w:rsidRPr="00CE6165">
        <w:rPr>
          <w:rFonts w:asciiTheme="majorBidi" w:hAnsiTheme="majorBidi" w:cstheme="majorBidi"/>
          <w:szCs w:val="22"/>
        </w:rPr>
        <w:t xml:space="preserve">, 2007; </w:t>
      </w:r>
      <w:proofErr w:type="spellStart"/>
      <w:r w:rsidR="000447DB" w:rsidRPr="00CE6165">
        <w:rPr>
          <w:rFonts w:asciiTheme="majorBidi" w:hAnsiTheme="majorBidi" w:cstheme="majorBidi"/>
          <w:szCs w:val="22"/>
        </w:rPr>
        <w:t>Robichaud</w:t>
      </w:r>
      <w:proofErr w:type="spellEnd"/>
      <w:r w:rsidR="000447DB" w:rsidRPr="00CE6165">
        <w:rPr>
          <w:rFonts w:asciiTheme="majorBidi" w:hAnsiTheme="majorBidi" w:cstheme="majorBidi"/>
          <w:szCs w:val="22"/>
        </w:rPr>
        <w:t xml:space="preserve">, 2013; Hui &amp; </w:t>
      </w:r>
      <w:proofErr w:type="spellStart"/>
      <w:r w:rsidR="000447DB" w:rsidRPr="00CE6165">
        <w:rPr>
          <w:rFonts w:asciiTheme="majorBidi" w:hAnsiTheme="majorBidi" w:cstheme="majorBidi"/>
          <w:szCs w:val="22"/>
        </w:rPr>
        <w:t>Zhihui</w:t>
      </w:r>
      <w:proofErr w:type="spellEnd"/>
      <w:r w:rsidR="000447DB" w:rsidRPr="00CE6165">
        <w:rPr>
          <w:rFonts w:asciiTheme="majorBidi" w:hAnsiTheme="majorBidi" w:cstheme="majorBidi"/>
          <w:szCs w:val="22"/>
        </w:rPr>
        <w:t>, 2016</w:t>
      </w:r>
      <w:r w:rsidR="000447DB" w:rsidRPr="00CE6165">
        <w:rPr>
          <w:rFonts w:asciiTheme="majorBidi" w:hAnsiTheme="majorBidi" w:cstheme="majorBidi"/>
          <w:sz w:val="24"/>
          <w:szCs w:val="24"/>
        </w:rPr>
        <w:t>)</w:t>
      </w:r>
      <w:r w:rsidRPr="00CE6165">
        <w:rPr>
          <w:rFonts w:asciiTheme="majorBidi" w:hAnsiTheme="majorBidi" w:cstheme="majorBidi"/>
          <w:sz w:val="24"/>
          <w:szCs w:val="24"/>
        </w:rPr>
        <w:t xml:space="preserve">, which showed cognitive-behavior therapy focused on intolerance of uncertainty is effective on positive beliefs about worry. Positive beliefs about worry are those beliefs which are associated with benefits and usefulness of involvement in specific cognitive activities such as worry, rumination, threat monitoring, etc. So that patients with GAD preserve some positive beliefs about worry </w:t>
      </w:r>
      <w:r w:rsidR="000447DB" w:rsidRPr="00CE6165">
        <w:rPr>
          <w:rFonts w:asciiTheme="majorBidi" w:hAnsiTheme="majorBidi" w:cstheme="majorBidi"/>
          <w:sz w:val="24"/>
          <w:szCs w:val="24"/>
        </w:rPr>
        <w:t>(</w:t>
      </w:r>
      <w:r w:rsidR="000447DB" w:rsidRPr="00CE6165">
        <w:rPr>
          <w:rFonts w:asciiTheme="majorBidi" w:hAnsiTheme="majorBidi" w:cstheme="majorBidi"/>
          <w:szCs w:val="22"/>
        </w:rPr>
        <w:t>Wells, 2005</w:t>
      </w:r>
      <w:r w:rsidR="000447DB" w:rsidRPr="00CE6165">
        <w:rPr>
          <w:rFonts w:asciiTheme="majorBidi" w:hAnsiTheme="majorBidi" w:cstheme="majorBidi"/>
          <w:sz w:val="24"/>
          <w:szCs w:val="24"/>
        </w:rPr>
        <w:t>)</w:t>
      </w:r>
      <w:r w:rsidRPr="00CE6165">
        <w:rPr>
          <w:rFonts w:asciiTheme="majorBidi" w:hAnsiTheme="majorBidi" w:cstheme="majorBidi"/>
          <w:sz w:val="24"/>
          <w:szCs w:val="24"/>
        </w:rPr>
        <w:t xml:space="preserve">. Positive beliefs about worry that according to the American Psychiatric Association is characteristic of generalized anxiety disorder </w:t>
      </w:r>
      <w:r w:rsidR="008A1792" w:rsidRPr="00CE6165">
        <w:rPr>
          <w:rFonts w:asciiTheme="majorBidi" w:hAnsiTheme="majorBidi" w:cstheme="majorBidi"/>
          <w:sz w:val="24"/>
          <w:szCs w:val="24"/>
        </w:rPr>
        <w:t>(</w:t>
      </w:r>
      <w:r w:rsidR="008A1792" w:rsidRPr="00CE6165">
        <w:rPr>
          <w:rFonts w:ascii="Times New Roman" w:eastAsia="Times New Roman" w:hAnsi="Times New Roman" w:cs="Times New Roman"/>
          <w:szCs w:val="22"/>
        </w:rPr>
        <w:t>American Psychiatric Association</w:t>
      </w:r>
      <w:r w:rsidR="008A1792" w:rsidRPr="00CE6165">
        <w:rPr>
          <w:rFonts w:asciiTheme="majorBidi" w:hAnsiTheme="majorBidi" w:cstheme="majorBidi"/>
          <w:szCs w:val="22"/>
        </w:rPr>
        <w:t xml:space="preserve"> ,2013</w:t>
      </w:r>
      <w:r w:rsidR="008A1792" w:rsidRPr="00CE6165">
        <w:rPr>
          <w:rFonts w:asciiTheme="majorBidi" w:hAnsiTheme="majorBidi" w:cstheme="majorBidi"/>
          <w:sz w:val="24"/>
          <w:szCs w:val="24"/>
        </w:rPr>
        <w:t>)</w:t>
      </w:r>
      <w:r w:rsidRPr="00CE6165">
        <w:rPr>
          <w:rFonts w:asciiTheme="majorBidi" w:hAnsiTheme="majorBidi" w:cstheme="majorBidi"/>
          <w:sz w:val="24"/>
          <w:szCs w:val="24"/>
        </w:rPr>
        <w:t xml:space="preserve">, leads to positive and negative reinforcement of worry and contribute to creation and maintenance of excessive and uncontrollable worry </w:t>
      </w:r>
      <w:r w:rsidR="00732E87" w:rsidRPr="00CE6165">
        <w:rPr>
          <w:rFonts w:asciiTheme="majorBidi" w:hAnsiTheme="majorBidi" w:cstheme="majorBidi"/>
          <w:sz w:val="24"/>
          <w:szCs w:val="24"/>
        </w:rPr>
        <w:t>(</w:t>
      </w:r>
      <w:r w:rsidR="0050630C" w:rsidRPr="00CE6165">
        <w:rPr>
          <w:rFonts w:asciiTheme="majorBidi" w:hAnsiTheme="majorBidi" w:cstheme="majorBidi"/>
          <w:szCs w:val="22"/>
        </w:rPr>
        <w:t>Hebert et al</w:t>
      </w:r>
      <w:r w:rsidRPr="00CE6165">
        <w:rPr>
          <w:rFonts w:asciiTheme="majorBidi" w:hAnsiTheme="majorBidi" w:cstheme="majorBidi"/>
          <w:szCs w:val="22"/>
        </w:rPr>
        <w:t>,</w:t>
      </w:r>
      <w:r w:rsidR="0050630C" w:rsidRPr="00CE6165">
        <w:rPr>
          <w:rFonts w:asciiTheme="majorBidi" w:hAnsiTheme="majorBidi" w:cstheme="majorBidi"/>
          <w:szCs w:val="22"/>
        </w:rPr>
        <w:t xml:space="preserve">2014; Wells, 2005; </w:t>
      </w:r>
      <w:proofErr w:type="spellStart"/>
      <w:r w:rsidR="0050630C" w:rsidRPr="00CE6165">
        <w:rPr>
          <w:rFonts w:asciiTheme="majorBidi" w:hAnsiTheme="majorBidi" w:cstheme="majorBidi"/>
          <w:szCs w:val="22"/>
        </w:rPr>
        <w:t>Dugas</w:t>
      </w:r>
      <w:proofErr w:type="spellEnd"/>
      <w:r w:rsidR="0050630C" w:rsidRPr="00CE6165">
        <w:rPr>
          <w:rFonts w:asciiTheme="majorBidi" w:hAnsiTheme="majorBidi" w:cstheme="majorBidi"/>
          <w:szCs w:val="22"/>
        </w:rPr>
        <w:t xml:space="preserve"> &amp; </w:t>
      </w:r>
      <w:proofErr w:type="spellStart"/>
      <w:r w:rsidR="0050630C" w:rsidRPr="00CE6165">
        <w:rPr>
          <w:rFonts w:asciiTheme="majorBidi" w:hAnsiTheme="majorBidi" w:cstheme="majorBidi"/>
          <w:szCs w:val="22"/>
        </w:rPr>
        <w:t>Koerner</w:t>
      </w:r>
      <w:proofErr w:type="spellEnd"/>
      <w:r w:rsidR="0050630C" w:rsidRPr="00CE6165">
        <w:rPr>
          <w:rFonts w:asciiTheme="majorBidi" w:hAnsiTheme="majorBidi" w:cstheme="majorBidi"/>
          <w:szCs w:val="22"/>
        </w:rPr>
        <w:t>, 2005</w:t>
      </w:r>
      <w:r w:rsidR="0050630C" w:rsidRPr="00CE6165">
        <w:rPr>
          <w:rFonts w:asciiTheme="majorBidi" w:hAnsiTheme="majorBidi" w:cstheme="majorBidi"/>
          <w:sz w:val="24"/>
          <w:szCs w:val="24"/>
        </w:rPr>
        <w:t>)</w:t>
      </w:r>
      <w:r w:rsidRPr="00CE6165">
        <w:rPr>
          <w:rFonts w:asciiTheme="majorBidi" w:hAnsiTheme="majorBidi" w:cstheme="majorBidi"/>
          <w:sz w:val="24"/>
          <w:szCs w:val="24"/>
        </w:rPr>
        <w:t xml:space="preserve">. In describing finding of current research on lack of higher effectiveness of cognitive-behavior therapy focused on intolerance of uncertainty compared to </w:t>
      </w:r>
      <w:r w:rsidR="008259B2" w:rsidRPr="00CE6165">
        <w:rPr>
          <w:rFonts w:asciiTheme="majorBidi" w:hAnsiTheme="majorBidi" w:cstheme="majorBidi"/>
          <w:sz w:val="24"/>
          <w:szCs w:val="24"/>
        </w:rPr>
        <w:t xml:space="preserve">Pharmacotherapy </w:t>
      </w:r>
      <w:r w:rsidRPr="00CE6165">
        <w:rPr>
          <w:rFonts w:asciiTheme="majorBidi" w:hAnsiTheme="majorBidi" w:cstheme="majorBidi"/>
          <w:sz w:val="24"/>
          <w:szCs w:val="24"/>
        </w:rPr>
        <w:t xml:space="preserve">it can be stated that as research by Dugas and Robichaud </w:t>
      </w:r>
      <w:r w:rsidR="00732E87" w:rsidRPr="00CE6165">
        <w:rPr>
          <w:rFonts w:asciiTheme="majorBidi" w:hAnsiTheme="majorBidi" w:cstheme="majorBidi"/>
          <w:sz w:val="24"/>
          <w:szCs w:val="24"/>
        </w:rPr>
        <w:t>(2007)</w:t>
      </w:r>
      <w:r w:rsidRPr="00CE6165">
        <w:rPr>
          <w:rFonts w:asciiTheme="majorBidi" w:hAnsiTheme="majorBidi" w:cstheme="majorBidi"/>
          <w:sz w:val="24"/>
          <w:szCs w:val="24"/>
        </w:rPr>
        <w:t xml:space="preserve"> showed, most of clients are not completely aware of their beliefs about worry and some of them are completely aware of these beliefs, and they may tend not to disclose them, because they have secondary benefit for them. Some clients may not express these beliefs for releasing from uncertainty. That is, they do not want to have positive view toward behaviors reduction of which is useful for them, and some clients state that therapist do not tend to listen to these beliefs and consider them as therapeutic resistance. Others are afraid to show a bad face by expressing their contradictory beliefs. Also, the results of </w:t>
      </w:r>
      <w:proofErr w:type="spellStart"/>
      <w:r w:rsidRPr="00CE6165">
        <w:rPr>
          <w:rFonts w:asciiTheme="majorBidi" w:hAnsiTheme="majorBidi" w:cstheme="majorBidi"/>
          <w:sz w:val="24"/>
          <w:szCs w:val="24"/>
        </w:rPr>
        <w:t>Dugas</w:t>
      </w:r>
      <w:proofErr w:type="spellEnd"/>
      <w:r w:rsidRPr="00CE6165">
        <w:rPr>
          <w:rFonts w:asciiTheme="majorBidi" w:hAnsiTheme="majorBidi" w:cstheme="majorBidi"/>
          <w:sz w:val="24"/>
          <w:szCs w:val="24"/>
        </w:rPr>
        <w:t xml:space="preserve"> and </w:t>
      </w:r>
      <w:proofErr w:type="spellStart"/>
      <w:r w:rsidRPr="00CE6165">
        <w:rPr>
          <w:rFonts w:asciiTheme="majorBidi" w:hAnsiTheme="majorBidi" w:cstheme="majorBidi"/>
          <w:sz w:val="24"/>
          <w:szCs w:val="24"/>
        </w:rPr>
        <w:t>Robichaud's</w:t>
      </w:r>
      <w:proofErr w:type="spellEnd"/>
      <w:r w:rsidRPr="00CE6165">
        <w:rPr>
          <w:rFonts w:asciiTheme="majorBidi" w:hAnsiTheme="majorBidi" w:cstheme="majorBidi"/>
          <w:sz w:val="24"/>
          <w:szCs w:val="24"/>
        </w:rPr>
        <w:t xml:space="preserve"> research show that these beliefs are completely variable among people with GAD </w:t>
      </w:r>
      <w:r w:rsidR="00732E87" w:rsidRPr="00CE6165">
        <w:rPr>
          <w:rFonts w:asciiTheme="majorBidi" w:hAnsiTheme="majorBidi" w:cstheme="majorBidi"/>
          <w:sz w:val="24"/>
          <w:szCs w:val="24"/>
        </w:rPr>
        <w:t>(</w:t>
      </w:r>
      <w:r w:rsidR="00732E87" w:rsidRPr="00CE6165">
        <w:rPr>
          <w:rFonts w:asciiTheme="majorBidi" w:hAnsiTheme="majorBidi" w:cstheme="majorBidi"/>
          <w:szCs w:val="22"/>
        </w:rPr>
        <w:t>Dugas &amp; Robichaud, 2007</w:t>
      </w:r>
      <w:r w:rsidR="00732E87" w:rsidRPr="00CE6165">
        <w:rPr>
          <w:rFonts w:asciiTheme="majorBidi" w:hAnsiTheme="majorBidi" w:cstheme="majorBidi"/>
          <w:sz w:val="24"/>
          <w:szCs w:val="24"/>
        </w:rPr>
        <w:t>)</w:t>
      </w:r>
      <w:r w:rsidRPr="00CE6165">
        <w:rPr>
          <w:rFonts w:asciiTheme="majorBidi" w:hAnsiTheme="majorBidi" w:cstheme="majorBidi"/>
          <w:sz w:val="24"/>
          <w:szCs w:val="24"/>
        </w:rPr>
        <w:t xml:space="preserve">. Despite the fact that the majority of people with GAD believe that worry is very beneficial, sometimes some of these patients have less or no trust in these beliefs. Another reason that can be considered for this is that there is no intervention specifically on positive beliefs about worry in the cognitive-behavioral therapy protocol used in this study. Positive beliefs about worry is a metacognitive factor that contributes to the creation </w:t>
      </w:r>
      <w:r w:rsidRPr="00CE6165">
        <w:rPr>
          <w:rFonts w:asciiTheme="majorBidi" w:hAnsiTheme="majorBidi" w:cstheme="majorBidi"/>
          <w:sz w:val="24"/>
          <w:szCs w:val="24"/>
        </w:rPr>
        <w:lastRenderedPageBreak/>
        <w:t xml:space="preserve">and continuation of GAD. Metacognitive therapy which specifically and directly deals with modification of patient’s metacognitive beliefs about worry is more effective in this regards </w:t>
      </w:r>
      <w:r w:rsidR="00732E87" w:rsidRPr="00CE6165">
        <w:rPr>
          <w:rFonts w:asciiTheme="majorBidi" w:hAnsiTheme="majorBidi" w:cstheme="majorBidi"/>
          <w:szCs w:val="22"/>
        </w:rPr>
        <w:t>(Wells, 2010)</w:t>
      </w:r>
      <w:r w:rsidRPr="00CE6165">
        <w:rPr>
          <w:rFonts w:asciiTheme="majorBidi" w:hAnsiTheme="majorBidi" w:cstheme="majorBidi"/>
          <w:sz w:val="24"/>
          <w:szCs w:val="24"/>
        </w:rPr>
        <w:t xml:space="preserve">. </w:t>
      </w:r>
    </w:p>
    <w:p w:rsidR="00185091" w:rsidRPr="00CE6165" w:rsidRDefault="00185091" w:rsidP="008259B2">
      <w:pPr>
        <w:tabs>
          <w:tab w:val="left" w:pos="8491"/>
        </w:tabs>
        <w:spacing w:before="100" w:beforeAutospacing="1" w:after="100" w:afterAutospacing="1" w:line="276" w:lineRule="auto"/>
        <w:jc w:val="both"/>
        <w:rPr>
          <w:rFonts w:asciiTheme="majorBidi" w:hAnsiTheme="majorBidi" w:cstheme="majorBidi"/>
          <w:sz w:val="24"/>
          <w:szCs w:val="24"/>
        </w:rPr>
      </w:pPr>
      <w:r w:rsidRPr="00CE6165">
        <w:rPr>
          <w:rFonts w:asciiTheme="majorBidi" w:hAnsiTheme="majorBidi" w:cstheme="majorBidi"/>
          <w:sz w:val="24"/>
          <w:szCs w:val="24"/>
        </w:rPr>
        <w:t xml:space="preserve">Regarding the last component studied in this work, results of current research showed there is significant difference between two types of therapies in terms of effectiveness on negative problem orientation. That is, cognitive-behavior therapy focused on intolerance of uncertainty showed more effectiveness than </w:t>
      </w:r>
      <w:r w:rsidR="008259B2" w:rsidRPr="00CE6165">
        <w:rPr>
          <w:rFonts w:asciiTheme="majorBidi" w:hAnsiTheme="majorBidi" w:cstheme="majorBidi"/>
          <w:sz w:val="24"/>
          <w:szCs w:val="24"/>
        </w:rPr>
        <w:t>Pharmacotherapy</w:t>
      </w:r>
      <w:r w:rsidRPr="00CE6165">
        <w:rPr>
          <w:rFonts w:asciiTheme="majorBidi" w:hAnsiTheme="majorBidi" w:cstheme="majorBidi"/>
          <w:sz w:val="24"/>
          <w:szCs w:val="24"/>
        </w:rPr>
        <w:t xml:space="preserve"> concerning negative problem orientation in patients with GAD. This finding is consistent with previous research works </w:t>
      </w:r>
      <w:r w:rsidR="0014605C" w:rsidRPr="00CE6165">
        <w:rPr>
          <w:rFonts w:asciiTheme="majorBidi" w:hAnsiTheme="majorBidi" w:cstheme="majorBidi"/>
          <w:sz w:val="24"/>
          <w:szCs w:val="24"/>
        </w:rPr>
        <w:t>(</w:t>
      </w:r>
      <w:proofErr w:type="spellStart"/>
      <w:r w:rsidR="00710810" w:rsidRPr="00CE6165">
        <w:rPr>
          <w:rFonts w:ascii="Times New Roman" w:eastAsia="Times New Roman" w:hAnsi="Times New Roman" w:cs="Times New Roman"/>
          <w:szCs w:val="22"/>
        </w:rPr>
        <w:t>D’Zurilla</w:t>
      </w:r>
      <w:proofErr w:type="spellEnd"/>
      <w:r w:rsidR="00710810" w:rsidRPr="00CE6165">
        <w:rPr>
          <w:rFonts w:ascii="Times New Roman" w:eastAsia="Times New Roman" w:hAnsi="Times New Roman" w:cs="Times New Roman"/>
          <w:szCs w:val="22"/>
        </w:rPr>
        <w:t xml:space="preserve"> &amp; </w:t>
      </w:r>
      <w:proofErr w:type="spellStart"/>
      <w:r w:rsidR="00710810" w:rsidRPr="00CE6165">
        <w:rPr>
          <w:rFonts w:ascii="Times New Roman" w:eastAsia="Times New Roman" w:hAnsi="Times New Roman" w:cs="Times New Roman"/>
          <w:szCs w:val="22"/>
        </w:rPr>
        <w:t>Nezu</w:t>
      </w:r>
      <w:proofErr w:type="spellEnd"/>
      <w:r w:rsidR="00710810" w:rsidRPr="00CE6165">
        <w:rPr>
          <w:rFonts w:asciiTheme="majorBidi" w:hAnsiTheme="majorBidi" w:cstheme="majorBidi"/>
          <w:szCs w:val="22"/>
        </w:rPr>
        <w:t xml:space="preserve">, 2010, Dugas et al, 2010; </w:t>
      </w:r>
      <w:r w:rsidR="00710810" w:rsidRPr="00CE6165">
        <w:rPr>
          <w:rFonts w:ascii="Times New Roman" w:eastAsia="Times New Roman" w:hAnsi="Times New Roman" w:cs="Times New Roman"/>
          <w:szCs w:val="22"/>
        </w:rPr>
        <w:t>Robichaud, 2013</w:t>
      </w:r>
      <w:r w:rsidR="00710810" w:rsidRPr="00CE6165">
        <w:rPr>
          <w:rFonts w:asciiTheme="majorBidi" w:hAnsiTheme="majorBidi" w:cstheme="majorBidi"/>
          <w:sz w:val="24"/>
          <w:szCs w:val="24"/>
        </w:rPr>
        <w:t>)</w:t>
      </w:r>
      <w:r w:rsidRPr="00CE6165">
        <w:rPr>
          <w:rFonts w:asciiTheme="majorBidi" w:hAnsiTheme="majorBidi" w:cstheme="majorBidi"/>
          <w:sz w:val="24"/>
          <w:szCs w:val="24"/>
        </w:rPr>
        <w:t xml:space="preserve">. These studies indicated that successful cognitive- behavioral therapy can change problem solving skills of patients with GAD, so that their negative problem orientation, which is one of the factors continuing worries in patients with GAD, is shifted toward positive orientation. Problem orientation refers to negative orientation of individuals toward their problems and capabilities </w:t>
      </w:r>
      <w:r w:rsidR="0014605C" w:rsidRPr="00CE6165">
        <w:rPr>
          <w:rFonts w:asciiTheme="majorBidi" w:hAnsiTheme="majorBidi" w:cstheme="majorBidi"/>
          <w:sz w:val="24"/>
          <w:szCs w:val="24"/>
        </w:rPr>
        <w:t>(</w:t>
      </w:r>
      <w:proofErr w:type="spellStart"/>
      <w:r w:rsidR="0014605C" w:rsidRPr="00CE6165">
        <w:rPr>
          <w:rFonts w:ascii="Times New Roman" w:eastAsia="Times New Roman" w:hAnsi="Times New Roman" w:cs="Times New Roman"/>
          <w:szCs w:val="22"/>
        </w:rPr>
        <w:t>Dugas</w:t>
      </w:r>
      <w:proofErr w:type="spellEnd"/>
      <w:r w:rsidR="0014605C" w:rsidRPr="00CE6165">
        <w:rPr>
          <w:rFonts w:ascii="Times New Roman" w:eastAsia="Times New Roman" w:hAnsi="Times New Roman" w:cs="Times New Roman"/>
          <w:szCs w:val="22"/>
        </w:rPr>
        <w:t xml:space="preserve">, </w:t>
      </w:r>
      <w:proofErr w:type="spellStart"/>
      <w:r w:rsidR="0014605C" w:rsidRPr="00CE6165">
        <w:rPr>
          <w:rFonts w:ascii="Times New Roman" w:eastAsia="Times New Roman" w:hAnsi="Times New Roman" w:cs="Times New Roman"/>
          <w:szCs w:val="22"/>
        </w:rPr>
        <w:t>Freeston</w:t>
      </w:r>
      <w:proofErr w:type="spellEnd"/>
      <w:r w:rsidR="0014605C" w:rsidRPr="00CE6165">
        <w:rPr>
          <w:rFonts w:ascii="Times New Roman" w:eastAsia="Times New Roman" w:hAnsi="Times New Roman" w:cs="Times New Roman"/>
          <w:szCs w:val="22"/>
        </w:rPr>
        <w:t xml:space="preserve">, &amp; </w:t>
      </w:r>
      <w:proofErr w:type="spellStart"/>
      <w:r w:rsidR="0014605C" w:rsidRPr="00CE6165">
        <w:rPr>
          <w:rFonts w:ascii="Times New Roman" w:eastAsia="Times New Roman" w:hAnsi="Times New Roman" w:cs="Times New Roman"/>
          <w:szCs w:val="22"/>
        </w:rPr>
        <w:t>Ladouceur</w:t>
      </w:r>
      <w:proofErr w:type="spellEnd"/>
      <w:r w:rsidR="0014605C" w:rsidRPr="00CE6165">
        <w:rPr>
          <w:rFonts w:ascii="Times New Roman" w:eastAsia="Times New Roman" w:hAnsi="Times New Roman" w:cs="Times New Roman"/>
          <w:szCs w:val="22"/>
        </w:rPr>
        <w:t>, 1997</w:t>
      </w:r>
      <w:r w:rsidR="0014605C" w:rsidRPr="00CE6165">
        <w:rPr>
          <w:rFonts w:asciiTheme="majorBidi" w:hAnsiTheme="majorBidi" w:cstheme="majorBidi"/>
          <w:sz w:val="24"/>
          <w:szCs w:val="24"/>
        </w:rPr>
        <w:t>)</w:t>
      </w:r>
      <w:r w:rsidRPr="00CE6165">
        <w:rPr>
          <w:rFonts w:asciiTheme="majorBidi" w:hAnsiTheme="majorBidi" w:cstheme="majorBidi"/>
          <w:sz w:val="24"/>
          <w:szCs w:val="24"/>
        </w:rPr>
        <w:t xml:space="preserve">. High level of negative emotions may lead to perception along with biasing of problem solving skills. Given the fact that patients with GAD are more probable to have negative and inefficient attitude toward problem solving, an essential part of the therapy, which is taken from uncertainty intolerance model, includes helping clients to obtain more positive orientation toward the problems. It contains two major goals; familiarization with negative problem orientation, as one of the explanations of excessive worry, and introducing problem solving skills as an effective alternative for worry. </w:t>
      </w:r>
    </w:p>
    <w:p w:rsidR="00AC2C13" w:rsidRPr="00CE6165" w:rsidRDefault="00AC2C13" w:rsidP="00AC2C13">
      <w:pPr>
        <w:spacing w:before="100" w:beforeAutospacing="1" w:after="100" w:afterAutospacing="1" w:line="276" w:lineRule="auto"/>
        <w:jc w:val="both"/>
        <w:rPr>
          <w:rFonts w:asciiTheme="majorBidi" w:hAnsiTheme="majorBidi" w:cstheme="majorBidi"/>
          <w:sz w:val="24"/>
          <w:szCs w:val="24"/>
        </w:rPr>
      </w:pPr>
      <w:r w:rsidRPr="00CE6165">
        <w:rPr>
          <w:rFonts w:asciiTheme="majorBidi" w:hAnsiTheme="majorBidi" w:cstheme="majorBidi"/>
          <w:sz w:val="24"/>
          <w:szCs w:val="24"/>
        </w:rPr>
        <w:t xml:space="preserve">Higher effectiveness of cognitive-behavior therapy focused on intolerance of uncertainty (CBT-IU) compared to Pharmacotherapy can be justified in this way that since this therapeutic intervention specifically deals with worry, cognitive avoidance, and negative problem orientation components, and given time period in the former therapy was longer than the latter, thus its higher effectiveness on the variables compared to Pharmacotherapy is justified. </w:t>
      </w:r>
    </w:p>
    <w:p w:rsidR="00084C55" w:rsidRPr="00CE6165" w:rsidRDefault="00084C55" w:rsidP="00084C55">
      <w:pPr>
        <w:spacing w:before="100" w:beforeAutospacing="1" w:after="100" w:afterAutospacing="1" w:line="240" w:lineRule="auto"/>
        <w:jc w:val="both"/>
        <w:rPr>
          <w:rFonts w:asciiTheme="majorBidi" w:eastAsia="Calibri" w:hAnsiTheme="majorBidi" w:cstheme="majorBidi"/>
          <w:sz w:val="24"/>
          <w:szCs w:val="24"/>
        </w:rPr>
      </w:pPr>
      <w:r w:rsidRPr="00CE6165">
        <w:rPr>
          <w:rFonts w:asciiTheme="majorBidi" w:hAnsiTheme="majorBidi" w:cstheme="majorBidi"/>
          <w:sz w:val="24"/>
          <w:szCs w:val="24"/>
        </w:rPr>
        <w:t xml:space="preserve">Finally, current research had some limitations including limitation related to sampling method, random selection of subjects, sample size, using self-reporting questionnaires as data collection tool, and lack of follow-up sessions. Generalization of findings obviously requires further studies in this area. Thus it is suggested that similar studies are carried out on samples with larger size using efficient and random sampling methods, and follow-up studies are conducted in order to investigate long-term effectiveness of such studies, because long-term follow-up evaluations may be useful in perceiving long-term effects of this therapy on the variables under study. Also it is suggested this therapeutic model is compared to other interventions such as metacognitive therapy and mindfulness. </w:t>
      </w:r>
    </w:p>
    <w:p w:rsidR="00185091" w:rsidRPr="00CE6165" w:rsidRDefault="00185091" w:rsidP="00BC1512">
      <w:pPr>
        <w:spacing w:before="100" w:beforeAutospacing="1" w:after="100" w:afterAutospacing="1" w:line="276" w:lineRule="auto"/>
        <w:jc w:val="both"/>
        <w:rPr>
          <w:rFonts w:asciiTheme="majorBidi" w:hAnsiTheme="majorBidi" w:cstheme="majorBidi"/>
          <w:sz w:val="24"/>
          <w:szCs w:val="24"/>
        </w:rPr>
      </w:pPr>
      <w:r w:rsidRPr="00CE6165">
        <w:rPr>
          <w:rFonts w:asciiTheme="majorBidi" w:hAnsiTheme="majorBidi" w:cstheme="majorBidi"/>
          <w:b/>
          <w:sz w:val="24"/>
          <w:szCs w:val="24"/>
        </w:rPr>
        <w:t>Acknowledgment</w:t>
      </w:r>
    </w:p>
    <w:p w:rsidR="00185091" w:rsidRPr="00CE6165" w:rsidRDefault="00185091" w:rsidP="00E811E7">
      <w:pPr>
        <w:spacing w:before="100" w:beforeAutospacing="1" w:after="100" w:afterAutospacing="1" w:line="240" w:lineRule="auto"/>
        <w:jc w:val="both"/>
        <w:rPr>
          <w:rFonts w:asciiTheme="majorBidi" w:hAnsiTheme="majorBidi" w:cstheme="majorBidi"/>
          <w:sz w:val="24"/>
          <w:szCs w:val="24"/>
        </w:rPr>
      </w:pPr>
      <w:r w:rsidRPr="00CE6165">
        <w:rPr>
          <w:rFonts w:asciiTheme="majorBidi" w:hAnsiTheme="majorBidi" w:cstheme="majorBidi"/>
          <w:sz w:val="24"/>
          <w:szCs w:val="24"/>
        </w:rPr>
        <w:t>All participants and those who helped and facilitated research implementation, especially authorities of Neuroscience Research Center of Kurdistan University of Medical Sciences are highly appreciated.</w:t>
      </w:r>
    </w:p>
    <w:p w:rsidR="00185091" w:rsidRPr="00CE6165" w:rsidRDefault="00185091" w:rsidP="00A076D8">
      <w:pPr>
        <w:spacing w:before="100" w:beforeAutospacing="1" w:after="100" w:afterAutospacing="1" w:line="276" w:lineRule="auto"/>
        <w:jc w:val="both"/>
        <w:rPr>
          <w:rFonts w:asciiTheme="majorBidi" w:hAnsiTheme="majorBidi" w:cstheme="majorBidi"/>
          <w:b/>
          <w:sz w:val="24"/>
          <w:szCs w:val="24"/>
        </w:rPr>
      </w:pPr>
      <w:r w:rsidRPr="00CE6165">
        <w:rPr>
          <w:rFonts w:asciiTheme="majorBidi" w:hAnsiTheme="majorBidi" w:cstheme="majorBidi"/>
          <w:b/>
          <w:sz w:val="24"/>
          <w:szCs w:val="24"/>
        </w:rPr>
        <w:lastRenderedPageBreak/>
        <w:t>Reference</w:t>
      </w:r>
      <w:r w:rsidR="00084C55" w:rsidRPr="00CE6165">
        <w:rPr>
          <w:rFonts w:asciiTheme="majorBidi" w:hAnsiTheme="majorBidi" w:cstheme="majorBidi"/>
          <w:b/>
          <w:sz w:val="24"/>
          <w:szCs w:val="24"/>
        </w:rPr>
        <w:t>s</w:t>
      </w:r>
    </w:p>
    <w:p w:rsidR="00AC2C13" w:rsidRPr="00CE6165" w:rsidRDefault="00357B44" w:rsidP="007D798F">
      <w:pPr>
        <w:autoSpaceDE w:val="0"/>
        <w:autoSpaceDN w:val="0"/>
        <w:adjustRightInd w:val="0"/>
        <w:spacing w:after="0" w:line="240" w:lineRule="auto"/>
        <w:ind w:left="426" w:hanging="426"/>
        <w:jc w:val="both"/>
        <w:rPr>
          <w:rFonts w:asciiTheme="majorBidi" w:eastAsia="Times New Roman" w:hAnsiTheme="majorBidi" w:cstheme="majorBidi"/>
          <w:sz w:val="24"/>
          <w:szCs w:val="24"/>
        </w:rPr>
      </w:pPr>
      <w:r w:rsidRPr="00CE6165">
        <w:rPr>
          <w:rFonts w:asciiTheme="majorBidi" w:eastAsia="Times New Roman" w:hAnsiTheme="majorBidi" w:cstheme="majorBidi"/>
          <w:sz w:val="24"/>
          <w:szCs w:val="24"/>
        </w:rPr>
        <w:t>American Psychiatric Association. (2013). Diagnostic and Statistical Manual of Mental Disorders (</w:t>
      </w:r>
      <w:r w:rsidR="007D798F" w:rsidRPr="00CE6165">
        <w:rPr>
          <w:rFonts w:asciiTheme="majorBidi" w:eastAsia="Times New Roman" w:hAnsiTheme="majorBidi" w:cstheme="majorBidi"/>
          <w:sz w:val="24"/>
          <w:szCs w:val="24"/>
        </w:rPr>
        <w:t>5th ed.</w:t>
      </w:r>
      <w:r w:rsidRPr="00CE6165">
        <w:rPr>
          <w:rFonts w:asciiTheme="majorBidi" w:eastAsia="Times New Roman" w:hAnsiTheme="majorBidi" w:cstheme="majorBidi"/>
          <w:sz w:val="24"/>
          <w:szCs w:val="24"/>
        </w:rPr>
        <w:t xml:space="preserve">). </w:t>
      </w:r>
      <w:r w:rsidR="00A076D8" w:rsidRPr="00CE6165">
        <w:rPr>
          <w:rFonts w:asciiTheme="majorBidi" w:eastAsia="Times New Roman" w:hAnsiTheme="majorBidi" w:cstheme="majorBidi"/>
          <w:sz w:val="24"/>
          <w:szCs w:val="24"/>
        </w:rPr>
        <w:t>Washington DC: Author</w:t>
      </w:r>
      <w:r w:rsidRPr="00CE6165">
        <w:rPr>
          <w:rFonts w:asciiTheme="majorBidi" w:eastAsia="Times New Roman" w:hAnsiTheme="majorBidi" w:cstheme="majorBidi"/>
          <w:sz w:val="24"/>
          <w:szCs w:val="24"/>
        </w:rPr>
        <w:t>.</w:t>
      </w:r>
    </w:p>
    <w:p w:rsidR="00AC2C13" w:rsidRPr="00CE6165" w:rsidRDefault="00AC2C13" w:rsidP="00A076D8">
      <w:pPr>
        <w:autoSpaceDE w:val="0"/>
        <w:autoSpaceDN w:val="0"/>
        <w:adjustRightInd w:val="0"/>
        <w:spacing w:after="0" w:line="240" w:lineRule="auto"/>
        <w:ind w:left="426" w:hanging="426"/>
        <w:jc w:val="both"/>
        <w:rPr>
          <w:rFonts w:asciiTheme="majorBidi" w:eastAsia="Times New Roman" w:hAnsiTheme="majorBidi" w:cstheme="majorBidi"/>
          <w:sz w:val="24"/>
          <w:szCs w:val="24"/>
        </w:rPr>
      </w:pPr>
    </w:p>
    <w:p w:rsidR="00AC2C13" w:rsidRPr="00CE6165" w:rsidRDefault="00BC0EEB" w:rsidP="00A076D8">
      <w:pPr>
        <w:autoSpaceDE w:val="0"/>
        <w:autoSpaceDN w:val="0"/>
        <w:adjustRightInd w:val="0"/>
        <w:spacing w:after="0" w:line="240" w:lineRule="auto"/>
        <w:ind w:left="426" w:hanging="426"/>
        <w:jc w:val="both"/>
        <w:rPr>
          <w:rFonts w:asciiTheme="majorBidi" w:eastAsia="Times New Roman" w:hAnsiTheme="majorBidi" w:cstheme="majorBidi"/>
          <w:sz w:val="24"/>
          <w:szCs w:val="24"/>
        </w:rPr>
      </w:pPr>
      <w:proofErr w:type="spellStart"/>
      <w:r w:rsidRPr="00CE6165">
        <w:rPr>
          <w:rFonts w:asciiTheme="majorBidi" w:eastAsia="Times New Roman" w:hAnsiTheme="majorBidi" w:cstheme="majorBidi"/>
          <w:sz w:val="24"/>
          <w:szCs w:val="24"/>
        </w:rPr>
        <w:t>Alilo</w:t>
      </w:r>
      <w:proofErr w:type="spellEnd"/>
      <w:r w:rsidRPr="00CE6165">
        <w:rPr>
          <w:rFonts w:asciiTheme="majorBidi" w:eastAsia="Times New Roman" w:hAnsiTheme="majorBidi" w:cstheme="majorBidi"/>
          <w:sz w:val="24"/>
          <w:szCs w:val="24"/>
        </w:rPr>
        <w:t xml:space="preserve"> M, &amp; </w:t>
      </w:r>
      <w:proofErr w:type="spellStart"/>
      <w:r w:rsidRPr="00CE6165">
        <w:rPr>
          <w:rFonts w:asciiTheme="majorBidi" w:eastAsia="Times New Roman" w:hAnsiTheme="majorBidi" w:cstheme="majorBidi"/>
          <w:sz w:val="24"/>
          <w:szCs w:val="24"/>
        </w:rPr>
        <w:t>Shahjoei</w:t>
      </w:r>
      <w:proofErr w:type="spellEnd"/>
      <w:r w:rsidRPr="00CE6165">
        <w:rPr>
          <w:rFonts w:asciiTheme="majorBidi" w:eastAsia="Times New Roman" w:hAnsiTheme="majorBidi" w:cstheme="majorBidi"/>
          <w:sz w:val="24"/>
          <w:szCs w:val="24"/>
        </w:rPr>
        <w:t xml:space="preserve"> T. (2010). Comparison on Intolerance of Uncertainty, Cognitive Avoidance, Negative Problem Orientation, and Positive belief about worry among Patients with Generalized Anxiety Disorder and Normal people. New psychological research, 20(5), 167- 185.</w:t>
      </w:r>
    </w:p>
    <w:p w:rsidR="00AC2C13" w:rsidRPr="00CE6165" w:rsidRDefault="00AC2C13" w:rsidP="00A076D8">
      <w:pPr>
        <w:autoSpaceDE w:val="0"/>
        <w:autoSpaceDN w:val="0"/>
        <w:adjustRightInd w:val="0"/>
        <w:spacing w:after="0" w:line="240" w:lineRule="auto"/>
        <w:ind w:left="426" w:hanging="426"/>
        <w:jc w:val="both"/>
        <w:rPr>
          <w:rFonts w:asciiTheme="majorBidi" w:eastAsia="Times New Roman" w:hAnsiTheme="majorBidi" w:cstheme="majorBidi"/>
          <w:sz w:val="24"/>
          <w:szCs w:val="24"/>
        </w:rPr>
      </w:pPr>
    </w:p>
    <w:p w:rsidR="00AC2C13" w:rsidRPr="00CE6165" w:rsidRDefault="00357B44" w:rsidP="00A076D8">
      <w:pPr>
        <w:ind w:left="426" w:hanging="426"/>
        <w:jc w:val="both"/>
        <w:rPr>
          <w:rFonts w:asciiTheme="majorBidi" w:eastAsia="Times New Roman" w:hAnsiTheme="majorBidi" w:cstheme="majorBidi"/>
          <w:sz w:val="24"/>
          <w:szCs w:val="24"/>
        </w:rPr>
      </w:pPr>
      <w:r w:rsidRPr="00CE6165">
        <w:rPr>
          <w:rFonts w:asciiTheme="majorBidi" w:eastAsia="Times New Roman" w:hAnsiTheme="majorBidi" w:cstheme="majorBidi"/>
          <w:sz w:val="24"/>
          <w:szCs w:val="24"/>
        </w:rPr>
        <w:t xml:space="preserve">Andrews, G., Mahoney, A. E., </w:t>
      </w:r>
      <w:proofErr w:type="spellStart"/>
      <w:r w:rsidRPr="00CE6165">
        <w:rPr>
          <w:rFonts w:asciiTheme="majorBidi" w:eastAsia="Times New Roman" w:hAnsiTheme="majorBidi" w:cstheme="majorBidi"/>
          <w:sz w:val="24"/>
          <w:szCs w:val="24"/>
        </w:rPr>
        <w:t>Genderson</w:t>
      </w:r>
      <w:proofErr w:type="spellEnd"/>
      <w:r w:rsidRPr="00CE6165">
        <w:rPr>
          <w:rFonts w:asciiTheme="majorBidi" w:eastAsia="Times New Roman" w:hAnsiTheme="majorBidi" w:cstheme="majorBidi"/>
          <w:sz w:val="24"/>
          <w:szCs w:val="24"/>
        </w:rPr>
        <w:t>, M., &amp; Hobbs, M. J. (Eds.). (2016). Treatment of generalized anxiety disorder: Therapist guides and patient m</w:t>
      </w:r>
      <w:r w:rsidR="00AC2C13" w:rsidRPr="00CE6165">
        <w:rPr>
          <w:rFonts w:asciiTheme="majorBidi" w:eastAsia="Times New Roman" w:hAnsiTheme="majorBidi" w:cstheme="majorBidi"/>
          <w:sz w:val="24"/>
          <w:szCs w:val="24"/>
        </w:rPr>
        <w:t>anual. Oxford University Press.</w:t>
      </w:r>
    </w:p>
    <w:p w:rsidR="00AC2C13" w:rsidRPr="00CE6165" w:rsidRDefault="00357B44" w:rsidP="00A076D8">
      <w:pPr>
        <w:ind w:left="426" w:hanging="426"/>
        <w:jc w:val="both"/>
        <w:rPr>
          <w:rFonts w:asciiTheme="majorBidi" w:eastAsia="Times New Roman" w:hAnsiTheme="majorBidi" w:cstheme="majorBidi"/>
          <w:sz w:val="24"/>
          <w:szCs w:val="24"/>
        </w:rPr>
      </w:pPr>
      <w:r w:rsidRPr="00CE6165">
        <w:rPr>
          <w:rFonts w:asciiTheme="majorBidi" w:eastAsia="Times New Roman" w:hAnsiTheme="majorBidi" w:cstheme="majorBidi"/>
          <w:sz w:val="24"/>
          <w:szCs w:val="24"/>
        </w:rPr>
        <w:t xml:space="preserve">Baldwin, D., </w:t>
      </w:r>
      <w:proofErr w:type="spellStart"/>
      <w:r w:rsidRPr="00CE6165">
        <w:rPr>
          <w:rFonts w:asciiTheme="majorBidi" w:eastAsia="Times New Roman" w:hAnsiTheme="majorBidi" w:cstheme="majorBidi"/>
          <w:sz w:val="24"/>
          <w:szCs w:val="24"/>
        </w:rPr>
        <w:t>Hou</w:t>
      </w:r>
      <w:proofErr w:type="spellEnd"/>
      <w:r w:rsidRPr="00CE6165">
        <w:rPr>
          <w:rFonts w:asciiTheme="majorBidi" w:eastAsia="Times New Roman" w:hAnsiTheme="majorBidi" w:cstheme="majorBidi"/>
          <w:sz w:val="24"/>
          <w:szCs w:val="24"/>
        </w:rPr>
        <w:t xml:space="preserve">, R., Gordon, R., </w:t>
      </w:r>
      <w:proofErr w:type="spellStart"/>
      <w:r w:rsidRPr="00CE6165">
        <w:rPr>
          <w:rFonts w:asciiTheme="majorBidi" w:eastAsia="Times New Roman" w:hAnsiTheme="majorBidi" w:cstheme="majorBidi"/>
          <w:sz w:val="24"/>
          <w:szCs w:val="24"/>
        </w:rPr>
        <w:t>Huneke</w:t>
      </w:r>
      <w:proofErr w:type="spellEnd"/>
      <w:r w:rsidRPr="00CE6165">
        <w:rPr>
          <w:rFonts w:asciiTheme="majorBidi" w:eastAsia="Times New Roman" w:hAnsiTheme="majorBidi" w:cstheme="majorBidi"/>
          <w:sz w:val="24"/>
          <w:szCs w:val="24"/>
        </w:rPr>
        <w:t>, N., &amp; Garner, M. (2017). GAD: experimental medicine models, emerging targets: Pharmacotherapy in generalized anxiety disorder: novel experimental medicine models and emerging drug targets. CNS drugs.</w:t>
      </w:r>
    </w:p>
    <w:p w:rsidR="00357B44" w:rsidRPr="00CE6165" w:rsidRDefault="00357B44" w:rsidP="00A076D8">
      <w:pPr>
        <w:ind w:left="426" w:hanging="426"/>
        <w:jc w:val="both"/>
        <w:rPr>
          <w:rFonts w:asciiTheme="majorBidi" w:eastAsia="Times New Roman" w:hAnsiTheme="majorBidi" w:cstheme="majorBidi"/>
          <w:sz w:val="24"/>
          <w:szCs w:val="24"/>
        </w:rPr>
      </w:pPr>
      <w:r w:rsidRPr="00CE6165">
        <w:rPr>
          <w:rFonts w:asciiTheme="majorBidi" w:eastAsia="Times New Roman" w:hAnsiTheme="majorBidi" w:cstheme="majorBidi"/>
          <w:sz w:val="24"/>
          <w:szCs w:val="24"/>
        </w:rPr>
        <w:t xml:space="preserve">Baldwin, D. S., Anderson, I. M., Nutt, D. J., </w:t>
      </w:r>
      <w:proofErr w:type="spellStart"/>
      <w:r w:rsidRPr="00CE6165">
        <w:rPr>
          <w:rFonts w:asciiTheme="majorBidi" w:eastAsia="Times New Roman" w:hAnsiTheme="majorBidi" w:cstheme="majorBidi"/>
          <w:sz w:val="24"/>
          <w:szCs w:val="24"/>
        </w:rPr>
        <w:t>Allgulander</w:t>
      </w:r>
      <w:proofErr w:type="spellEnd"/>
      <w:r w:rsidRPr="00CE6165">
        <w:rPr>
          <w:rFonts w:asciiTheme="majorBidi" w:eastAsia="Times New Roman" w:hAnsiTheme="majorBidi" w:cstheme="majorBidi"/>
          <w:sz w:val="24"/>
          <w:szCs w:val="24"/>
        </w:rPr>
        <w:t xml:space="preserve">, C., </w:t>
      </w:r>
      <w:proofErr w:type="spellStart"/>
      <w:r w:rsidRPr="00CE6165">
        <w:rPr>
          <w:rFonts w:asciiTheme="majorBidi" w:eastAsia="Times New Roman" w:hAnsiTheme="majorBidi" w:cstheme="majorBidi"/>
          <w:sz w:val="24"/>
          <w:szCs w:val="24"/>
        </w:rPr>
        <w:t>Bandelow</w:t>
      </w:r>
      <w:proofErr w:type="spellEnd"/>
      <w:r w:rsidRPr="00CE6165">
        <w:rPr>
          <w:rFonts w:asciiTheme="majorBidi" w:eastAsia="Times New Roman" w:hAnsiTheme="majorBidi" w:cstheme="majorBidi"/>
          <w:sz w:val="24"/>
          <w:szCs w:val="24"/>
        </w:rPr>
        <w:t xml:space="preserve">, B., den Boer, J. A., &amp; </w:t>
      </w:r>
      <w:proofErr w:type="spellStart"/>
      <w:r w:rsidRPr="00CE6165">
        <w:rPr>
          <w:rFonts w:asciiTheme="majorBidi" w:eastAsia="Times New Roman" w:hAnsiTheme="majorBidi" w:cstheme="majorBidi"/>
          <w:sz w:val="24"/>
          <w:szCs w:val="24"/>
        </w:rPr>
        <w:t>Malizia</w:t>
      </w:r>
      <w:proofErr w:type="spellEnd"/>
      <w:r w:rsidRPr="00CE6165">
        <w:rPr>
          <w:rFonts w:asciiTheme="majorBidi" w:eastAsia="Times New Roman" w:hAnsiTheme="majorBidi" w:cstheme="majorBidi"/>
          <w:sz w:val="24"/>
          <w:szCs w:val="24"/>
        </w:rPr>
        <w:t>, A. (2014). Evidence-based pharmacological treatment of anxiety disorders, post-traumatic stress disorder and obsessive-compulsive disorder: a revision of the 2005 guidelines from the British Association for Psychopharmacology. Journal of Psychopharmacology, 28(5), 403-439.</w:t>
      </w:r>
      <w:r w:rsidRPr="00CE6165">
        <w:rPr>
          <w:rFonts w:asciiTheme="majorBidi" w:hAnsiTheme="majorBidi" w:cstheme="majorBidi"/>
          <w:color w:val="222222"/>
          <w:sz w:val="24"/>
          <w:szCs w:val="24"/>
          <w:shd w:val="clear" w:color="auto" w:fill="FFFFFF"/>
        </w:rPr>
        <w:t xml:space="preserve">  </w:t>
      </w:r>
    </w:p>
    <w:p w:rsidR="00357B44" w:rsidRPr="00CE6165" w:rsidRDefault="00357B44" w:rsidP="00A076D8">
      <w:pPr>
        <w:autoSpaceDE w:val="0"/>
        <w:autoSpaceDN w:val="0"/>
        <w:adjustRightInd w:val="0"/>
        <w:spacing w:line="240" w:lineRule="auto"/>
        <w:ind w:left="426" w:hanging="426"/>
        <w:jc w:val="both"/>
        <w:rPr>
          <w:rFonts w:asciiTheme="majorBidi" w:hAnsiTheme="majorBidi" w:cstheme="majorBidi"/>
          <w:color w:val="222222"/>
          <w:sz w:val="24"/>
          <w:szCs w:val="24"/>
          <w:shd w:val="clear" w:color="auto" w:fill="FFFFFF"/>
        </w:rPr>
      </w:pPr>
      <w:r w:rsidRPr="00CE6165">
        <w:rPr>
          <w:rFonts w:asciiTheme="majorBidi" w:hAnsiTheme="majorBidi" w:cstheme="majorBidi"/>
          <w:color w:val="222222"/>
          <w:sz w:val="24"/>
          <w:szCs w:val="24"/>
          <w:shd w:val="clear" w:color="auto" w:fill="FFFFFF"/>
        </w:rPr>
        <w:t xml:space="preserve">Baldwin, D. S., Waldman, S., &amp; </w:t>
      </w:r>
      <w:proofErr w:type="spellStart"/>
      <w:r w:rsidRPr="00CE6165">
        <w:rPr>
          <w:rFonts w:asciiTheme="majorBidi" w:hAnsiTheme="majorBidi" w:cstheme="majorBidi"/>
          <w:color w:val="222222"/>
          <w:sz w:val="24"/>
          <w:szCs w:val="24"/>
          <w:shd w:val="clear" w:color="auto" w:fill="FFFFFF"/>
        </w:rPr>
        <w:t>Allgulander</w:t>
      </w:r>
      <w:proofErr w:type="spellEnd"/>
      <w:r w:rsidRPr="00CE6165">
        <w:rPr>
          <w:rFonts w:asciiTheme="majorBidi" w:hAnsiTheme="majorBidi" w:cstheme="majorBidi"/>
          <w:color w:val="222222"/>
          <w:sz w:val="24"/>
          <w:szCs w:val="24"/>
          <w:shd w:val="clear" w:color="auto" w:fill="FFFFFF"/>
        </w:rPr>
        <w:t>, C. (</w:t>
      </w:r>
      <w:r w:rsidRPr="00CE6165">
        <w:rPr>
          <w:rFonts w:asciiTheme="majorBidi" w:eastAsia="Times New Roman" w:hAnsiTheme="majorBidi" w:cstheme="majorBidi"/>
          <w:sz w:val="24"/>
          <w:szCs w:val="24"/>
        </w:rPr>
        <w:t>2011). Evidence-based pharmacological</w:t>
      </w:r>
      <w:r w:rsidRPr="00CE6165">
        <w:rPr>
          <w:rFonts w:asciiTheme="majorBidi" w:eastAsia="Times New Roman" w:hAnsiTheme="majorBidi" w:cstheme="majorBidi"/>
          <w:sz w:val="24"/>
          <w:szCs w:val="24"/>
          <w:rtl/>
        </w:rPr>
        <w:t xml:space="preserve"> </w:t>
      </w:r>
      <w:r w:rsidRPr="00CE6165">
        <w:rPr>
          <w:rFonts w:asciiTheme="majorBidi" w:eastAsia="Times New Roman" w:hAnsiTheme="majorBidi" w:cstheme="majorBidi"/>
          <w:sz w:val="24"/>
          <w:szCs w:val="24"/>
        </w:rPr>
        <w:t>treatment of generalized anxiety disorder. International Journal of Neuro</w:t>
      </w:r>
      <w:r w:rsidRPr="00CE6165">
        <w:rPr>
          <w:rFonts w:asciiTheme="majorBidi" w:eastAsia="Times New Roman" w:hAnsiTheme="majorBidi" w:cstheme="majorBidi"/>
          <w:sz w:val="24"/>
          <w:szCs w:val="24"/>
          <w:rtl/>
        </w:rPr>
        <w:t xml:space="preserve"> </w:t>
      </w:r>
      <w:r w:rsidRPr="00CE6165">
        <w:rPr>
          <w:rFonts w:asciiTheme="majorBidi" w:eastAsia="Times New Roman" w:hAnsiTheme="majorBidi" w:cstheme="majorBidi"/>
          <w:sz w:val="24"/>
          <w:szCs w:val="24"/>
        </w:rPr>
        <w:t>psycho</w:t>
      </w:r>
      <w:r w:rsidRPr="00CE6165">
        <w:rPr>
          <w:rFonts w:asciiTheme="majorBidi" w:eastAsia="Times New Roman" w:hAnsiTheme="majorBidi" w:cstheme="majorBidi"/>
          <w:sz w:val="24"/>
          <w:szCs w:val="24"/>
          <w:rtl/>
        </w:rPr>
        <w:t xml:space="preserve"> </w:t>
      </w:r>
      <w:r w:rsidRPr="00CE6165">
        <w:rPr>
          <w:rFonts w:asciiTheme="majorBidi" w:eastAsia="Times New Roman" w:hAnsiTheme="majorBidi" w:cstheme="majorBidi"/>
          <w:sz w:val="24"/>
          <w:szCs w:val="24"/>
        </w:rPr>
        <w:t>pharmacology, 14(5),</w:t>
      </w:r>
      <w:r w:rsidRPr="00CE6165">
        <w:rPr>
          <w:rFonts w:asciiTheme="majorBidi" w:hAnsiTheme="majorBidi" w:cstheme="majorBidi"/>
          <w:color w:val="222222"/>
          <w:sz w:val="24"/>
          <w:szCs w:val="24"/>
          <w:shd w:val="clear" w:color="auto" w:fill="FFFFFF"/>
        </w:rPr>
        <w:t xml:space="preserve"> 697-710.</w:t>
      </w:r>
    </w:p>
    <w:p w:rsidR="00357B44" w:rsidRPr="00CE6165" w:rsidRDefault="00357B44" w:rsidP="00A076D8">
      <w:pPr>
        <w:spacing w:line="240" w:lineRule="auto"/>
        <w:ind w:left="426" w:hanging="426"/>
        <w:jc w:val="both"/>
        <w:rPr>
          <w:rFonts w:asciiTheme="majorBidi" w:hAnsiTheme="majorBidi" w:cstheme="majorBidi"/>
          <w:color w:val="222222"/>
          <w:sz w:val="24"/>
          <w:szCs w:val="24"/>
          <w:shd w:val="clear" w:color="auto" w:fill="FFFFFF"/>
          <w:rtl/>
        </w:rPr>
      </w:pPr>
      <w:proofErr w:type="spellStart"/>
      <w:r w:rsidRPr="00CE6165">
        <w:rPr>
          <w:rFonts w:asciiTheme="majorBidi" w:hAnsiTheme="majorBidi" w:cstheme="majorBidi"/>
          <w:color w:val="222222"/>
          <w:sz w:val="24"/>
          <w:szCs w:val="24"/>
          <w:shd w:val="clear" w:color="auto" w:fill="FFFFFF"/>
        </w:rPr>
        <w:t>Bandelow</w:t>
      </w:r>
      <w:proofErr w:type="spellEnd"/>
      <w:r w:rsidRPr="00CE6165">
        <w:rPr>
          <w:rFonts w:asciiTheme="majorBidi" w:hAnsiTheme="majorBidi" w:cstheme="majorBidi"/>
          <w:color w:val="222222"/>
          <w:sz w:val="24"/>
          <w:szCs w:val="24"/>
          <w:shd w:val="clear" w:color="auto" w:fill="FFFFFF"/>
        </w:rPr>
        <w:t xml:space="preserve">, B., </w:t>
      </w:r>
      <w:proofErr w:type="spellStart"/>
      <w:r w:rsidRPr="00CE6165">
        <w:rPr>
          <w:rFonts w:asciiTheme="majorBidi" w:hAnsiTheme="majorBidi" w:cstheme="majorBidi"/>
          <w:color w:val="222222"/>
          <w:sz w:val="24"/>
          <w:szCs w:val="24"/>
          <w:shd w:val="clear" w:color="auto" w:fill="FFFFFF"/>
        </w:rPr>
        <w:t>Reitt</w:t>
      </w:r>
      <w:proofErr w:type="spellEnd"/>
      <w:r w:rsidRPr="00CE6165">
        <w:rPr>
          <w:rFonts w:asciiTheme="majorBidi" w:hAnsiTheme="majorBidi" w:cstheme="majorBidi"/>
          <w:color w:val="222222"/>
          <w:sz w:val="24"/>
          <w:szCs w:val="24"/>
          <w:shd w:val="clear" w:color="auto" w:fill="FFFFFF"/>
        </w:rPr>
        <w:t xml:space="preserve">, M., </w:t>
      </w:r>
      <w:proofErr w:type="spellStart"/>
      <w:r w:rsidRPr="00CE6165">
        <w:rPr>
          <w:rFonts w:asciiTheme="majorBidi" w:hAnsiTheme="majorBidi" w:cstheme="majorBidi"/>
          <w:color w:val="222222"/>
          <w:sz w:val="24"/>
          <w:szCs w:val="24"/>
          <w:shd w:val="clear" w:color="auto" w:fill="FFFFFF"/>
        </w:rPr>
        <w:t>Röver</w:t>
      </w:r>
      <w:proofErr w:type="spellEnd"/>
      <w:r w:rsidRPr="00CE6165">
        <w:rPr>
          <w:rFonts w:asciiTheme="majorBidi" w:hAnsiTheme="majorBidi" w:cstheme="majorBidi"/>
          <w:color w:val="222222"/>
          <w:sz w:val="24"/>
          <w:szCs w:val="24"/>
          <w:shd w:val="clear" w:color="auto" w:fill="FFFFFF"/>
        </w:rPr>
        <w:t xml:space="preserve">, C., </w:t>
      </w:r>
      <w:proofErr w:type="spellStart"/>
      <w:r w:rsidRPr="00CE6165">
        <w:rPr>
          <w:rFonts w:asciiTheme="majorBidi" w:hAnsiTheme="majorBidi" w:cstheme="majorBidi"/>
          <w:color w:val="222222"/>
          <w:sz w:val="24"/>
          <w:szCs w:val="24"/>
          <w:shd w:val="clear" w:color="auto" w:fill="FFFFFF"/>
        </w:rPr>
        <w:t>Michaelis</w:t>
      </w:r>
      <w:proofErr w:type="spellEnd"/>
      <w:r w:rsidRPr="00CE6165">
        <w:rPr>
          <w:rFonts w:asciiTheme="majorBidi" w:hAnsiTheme="majorBidi" w:cstheme="majorBidi"/>
          <w:color w:val="222222"/>
          <w:sz w:val="24"/>
          <w:szCs w:val="24"/>
          <w:shd w:val="clear" w:color="auto" w:fill="FFFFFF"/>
        </w:rPr>
        <w:t xml:space="preserve">, S., </w:t>
      </w:r>
      <w:proofErr w:type="spellStart"/>
      <w:r w:rsidRPr="00CE6165">
        <w:rPr>
          <w:rFonts w:asciiTheme="majorBidi" w:hAnsiTheme="majorBidi" w:cstheme="majorBidi"/>
          <w:color w:val="222222"/>
          <w:sz w:val="24"/>
          <w:szCs w:val="24"/>
          <w:shd w:val="clear" w:color="auto" w:fill="FFFFFF"/>
        </w:rPr>
        <w:t>Görlich</w:t>
      </w:r>
      <w:proofErr w:type="spellEnd"/>
      <w:r w:rsidRPr="00CE6165">
        <w:rPr>
          <w:rFonts w:asciiTheme="majorBidi" w:hAnsiTheme="majorBidi" w:cstheme="majorBidi"/>
          <w:color w:val="222222"/>
          <w:sz w:val="24"/>
          <w:szCs w:val="24"/>
          <w:shd w:val="clear" w:color="auto" w:fill="FFFFFF"/>
        </w:rPr>
        <w:t xml:space="preserve">, Y., &amp; </w:t>
      </w:r>
      <w:proofErr w:type="spellStart"/>
      <w:r w:rsidRPr="00CE6165">
        <w:rPr>
          <w:rFonts w:asciiTheme="majorBidi" w:hAnsiTheme="majorBidi" w:cstheme="majorBidi"/>
          <w:color w:val="222222"/>
          <w:sz w:val="24"/>
          <w:szCs w:val="24"/>
          <w:shd w:val="clear" w:color="auto" w:fill="FFFFFF"/>
        </w:rPr>
        <w:t>Wedekind</w:t>
      </w:r>
      <w:proofErr w:type="spellEnd"/>
      <w:r w:rsidRPr="00CE6165">
        <w:rPr>
          <w:rFonts w:asciiTheme="majorBidi" w:hAnsiTheme="majorBidi" w:cstheme="majorBidi"/>
          <w:color w:val="222222"/>
          <w:sz w:val="24"/>
          <w:szCs w:val="24"/>
          <w:shd w:val="clear" w:color="auto" w:fill="FFFFFF"/>
        </w:rPr>
        <w:t>, D. (2015). Efficacy of treatments for anxiety disorders: a meta-analysis. International Clinical Psychopharmacology, 30(4), 183-192.</w:t>
      </w:r>
    </w:p>
    <w:p w:rsidR="00357B44" w:rsidRPr="00CE6165" w:rsidRDefault="00357B44" w:rsidP="00A076D8">
      <w:pPr>
        <w:autoSpaceDE w:val="0"/>
        <w:autoSpaceDN w:val="0"/>
        <w:adjustRightInd w:val="0"/>
        <w:spacing w:line="240" w:lineRule="auto"/>
        <w:ind w:left="426" w:hanging="426"/>
        <w:jc w:val="both"/>
        <w:rPr>
          <w:rFonts w:asciiTheme="majorBidi" w:hAnsiTheme="majorBidi" w:cstheme="majorBidi"/>
          <w:color w:val="222222"/>
          <w:sz w:val="24"/>
          <w:szCs w:val="24"/>
          <w:shd w:val="clear" w:color="auto" w:fill="FFFFFF"/>
        </w:rPr>
      </w:pPr>
      <w:r w:rsidRPr="00CE6165">
        <w:rPr>
          <w:rFonts w:asciiTheme="majorBidi" w:hAnsiTheme="majorBidi" w:cstheme="majorBidi"/>
          <w:color w:val="222222"/>
          <w:sz w:val="24"/>
          <w:szCs w:val="24"/>
          <w:shd w:val="clear" w:color="auto" w:fill="FFFFFF"/>
        </w:rPr>
        <w:t>Barlow, D. H. (Ed.). (2014). Clinical handbook of psychological disorders: A step-by-step treatment manual. Guilford publications.</w:t>
      </w:r>
    </w:p>
    <w:p w:rsidR="00357B44" w:rsidRPr="00CE6165" w:rsidRDefault="00357B44" w:rsidP="00A076D8">
      <w:pPr>
        <w:autoSpaceDE w:val="0"/>
        <w:autoSpaceDN w:val="0"/>
        <w:adjustRightInd w:val="0"/>
        <w:spacing w:line="240" w:lineRule="auto"/>
        <w:ind w:left="426" w:hanging="426"/>
        <w:jc w:val="both"/>
        <w:rPr>
          <w:rFonts w:asciiTheme="majorBidi" w:eastAsia="Times New Roman" w:hAnsiTheme="majorBidi" w:cstheme="majorBidi"/>
          <w:sz w:val="24"/>
          <w:szCs w:val="24"/>
        </w:rPr>
      </w:pPr>
      <w:r w:rsidRPr="00CE6165">
        <w:rPr>
          <w:rFonts w:asciiTheme="majorBidi" w:eastAsia="Times New Roman" w:hAnsiTheme="majorBidi" w:cstheme="majorBidi"/>
          <w:sz w:val="24"/>
          <w:szCs w:val="24"/>
        </w:rPr>
        <w:t>Beck, A. T., Epstein, N., Brown, G., &amp; Steer, R. A. (1988). An inventory for measuring clinical anxiety: psychometric properties. Journal of consulting and clinical psychology, 56(6), 893.</w:t>
      </w:r>
    </w:p>
    <w:p w:rsidR="00357B44" w:rsidRPr="00CE6165" w:rsidRDefault="00357B44" w:rsidP="00A076D8">
      <w:pPr>
        <w:autoSpaceDE w:val="0"/>
        <w:autoSpaceDN w:val="0"/>
        <w:adjustRightInd w:val="0"/>
        <w:spacing w:line="240" w:lineRule="auto"/>
        <w:ind w:left="426" w:hanging="426"/>
        <w:jc w:val="both"/>
        <w:rPr>
          <w:rFonts w:asciiTheme="majorBidi" w:eastAsia="Times New Roman" w:hAnsiTheme="majorBidi" w:cstheme="majorBidi"/>
          <w:sz w:val="24"/>
          <w:szCs w:val="24"/>
        </w:rPr>
      </w:pPr>
      <w:proofErr w:type="spellStart"/>
      <w:r w:rsidRPr="00CE6165">
        <w:rPr>
          <w:rFonts w:asciiTheme="majorBidi" w:eastAsia="Times New Roman" w:hAnsiTheme="majorBidi" w:cstheme="majorBidi"/>
          <w:sz w:val="24"/>
          <w:szCs w:val="24"/>
        </w:rPr>
        <w:t>Besharat</w:t>
      </w:r>
      <w:proofErr w:type="spellEnd"/>
      <w:r w:rsidRPr="00CE6165">
        <w:rPr>
          <w:rFonts w:asciiTheme="majorBidi" w:eastAsia="Times New Roman" w:hAnsiTheme="majorBidi" w:cstheme="majorBidi"/>
          <w:sz w:val="24"/>
          <w:szCs w:val="24"/>
        </w:rPr>
        <w:t>, M. A. (2007). Psychometric properties of a Farsi version of the Penn State worry questionnaire. Tehran: University of Tehran, 4-26.</w:t>
      </w:r>
    </w:p>
    <w:p w:rsidR="007F4E89" w:rsidRPr="00CE6165" w:rsidRDefault="00357B44" w:rsidP="00A076D8">
      <w:pPr>
        <w:autoSpaceDE w:val="0"/>
        <w:autoSpaceDN w:val="0"/>
        <w:adjustRightInd w:val="0"/>
        <w:spacing w:after="0" w:line="240" w:lineRule="auto"/>
        <w:ind w:left="426" w:hanging="426"/>
        <w:jc w:val="both"/>
        <w:rPr>
          <w:rFonts w:asciiTheme="majorBidi" w:hAnsiTheme="majorBidi" w:cstheme="majorBidi"/>
          <w:color w:val="222222"/>
          <w:sz w:val="24"/>
          <w:szCs w:val="24"/>
          <w:shd w:val="clear" w:color="auto" w:fill="FFFFFF"/>
        </w:rPr>
      </w:pPr>
      <w:r w:rsidRPr="00CE6165">
        <w:rPr>
          <w:rFonts w:asciiTheme="majorBidi" w:hAnsiTheme="majorBidi" w:cstheme="majorBidi"/>
          <w:color w:val="222222"/>
          <w:sz w:val="24"/>
          <w:szCs w:val="24"/>
          <w:shd w:val="clear" w:color="auto" w:fill="FFFFFF"/>
        </w:rPr>
        <w:t xml:space="preserve">Borkovec, T. D., </w:t>
      </w:r>
      <w:proofErr w:type="spellStart"/>
      <w:r w:rsidRPr="00CE6165">
        <w:rPr>
          <w:rFonts w:asciiTheme="majorBidi" w:hAnsiTheme="majorBidi" w:cstheme="majorBidi"/>
          <w:color w:val="222222"/>
          <w:sz w:val="24"/>
          <w:szCs w:val="24"/>
          <w:shd w:val="clear" w:color="auto" w:fill="FFFFFF"/>
        </w:rPr>
        <w:t>Alcaine</w:t>
      </w:r>
      <w:proofErr w:type="spellEnd"/>
      <w:r w:rsidRPr="00CE6165">
        <w:rPr>
          <w:rFonts w:asciiTheme="majorBidi" w:hAnsiTheme="majorBidi" w:cstheme="majorBidi"/>
          <w:color w:val="222222"/>
          <w:sz w:val="24"/>
          <w:szCs w:val="24"/>
          <w:shd w:val="clear" w:color="auto" w:fill="FFFFFF"/>
        </w:rPr>
        <w:t>, O., &amp; Behar, E. (2004). Avoidance theory of worry and generalized anxiety disorder. Generalized anxiety disorder: Advances in research and practice, 2004.</w:t>
      </w:r>
    </w:p>
    <w:p w:rsidR="00192261" w:rsidRPr="00CE6165" w:rsidRDefault="00192261" w:rsidP="00A076D8">
      <w:pPr>
        <w:autoSpaceDE w:val="0"/>
        <w:autoSpaceDN w:val="0"/>
        <w:adjustRightInd w:val="0"/>
        <w:spacing w:after="0" w:line="240" w:lineRule="auto"/>
        <w:ind w:left="426" w:hanging="426"/>
        <w:jc w:val="both"/>
        <w:rPr>
          <w:rFonts w:asciiTheme="majorBidi" w:hAnsiTheme="majorBidi" w:cstheme="majorBidi"/>
          <w:color w:val="222222"/>
          <w:sz w:val="24"/>
          <w:szCs w:val="24"/>
          <w:shd w:val="clear" w:color="auto" w:fill="FFFFFF"/>
        </w:rPr>
      </w:pPr>
    </w:p>
    <w:p w:rsidR="007F4E89" w:rsidRPr="00CE6165" w:rsidRDefault="007F4E89" w:rsidP="00A076D8">
      <w:pPr>
        <w:autoSpaceDE w:val="0"/>
        <w:autoSpaceDN w:val="0"/>
        <w:adjustRightInd w:val="0"/>
        <w:spacing w:line="240" w:lineRule="auto"/>
        <w:ind w:left="426" w:hanging="426"/>
        <w:jc w:val="both"/>
        <w:rPr>
          <w:rFonts w:asciiTheme="majorBidi" w:eastAsia="Times New Roman" w:hAnsiTheme="majorBidi" w:cstheme="majorBidi"/>
          <w:sz w:val="24"/>
          <w:szCs w:val="24"/>
          <w:rtl/>
        </w:rPr>
      </w:pPr>
      <w:r w:rsidRPr="00CE6165">
        <w:rPr>
          <w:rFonts w:asciiTheme="majorBidi" w:hAnsiTheme="majorBidi" w:cstheme="majorBidi"/>
          <w:sz w:val="24"/>
          <w:szCs w:val="24"/>
        </w:rPr>
        <w:t xml:space="preserve">Barlow, D. H., </w:t>
      </w:r>
      <w:proofErr w:type="spellStart"/>
      <w:r w:rsidRPr="00CE6165">
        <w:rPr>
          <w:rFonts w:asciiTheme="majorBidi" w:hAnsiTheme="majorBidi" w:cstheme="majorBidi"/>
          <w:sz w:val="24"/>
          <w:szCs w:val="24"/>
        </w:rPr>
        <w:t>Rapee</w:t>
      </w:r>
      <w:proofErr w:type="spellEnd"/>
      <w:r w:rsidRPr="00CE6165">
        <w:rPr>
          <w:rFonts w:asciiTheme="majorBidi" w:hAnsiTheme="majorBidi" w:cstheme="majorBidi"/>
          <w:sz w:val="24"/>
          <w:szCs w:val="24"/>
        </w:rPr>
        <w:t>, R. M., &amp; Brown, T. A. (1992).</w:t>
      </w:r>
      <w:r w:rsidRPr="00CE6165">
        <w:rPr>
          <w:rFonts w:asciiTheme="majorBidi" w:eastAsia="Times New Roman" w:hAnsiTheme="majorBidi" w:cstheme="majorBidi"/>
          <w:sz w:val="24"/>
          <w:szCs w:val="24"/>
        </w:rPr>
        <w:t xml:space="preserve">Behavioral treatment of generalized anxiety </w:t>
      </w:r>
      <w:proofErr w:type="spellStart"/>
      <w:r w:rsidRPr="00CE6165">
        <w:rPr>
          <w:rFonts w:asciiTheme="majorBidi" w:eastAsia="Times New Roman" w:hAnsiTheme="majorBidi" w:cstheme="majorBidi"/>
          <w:sz w:val="24"/>
          <w:szCs w:val="24"/>
        </w:rPr>
        <w:t>disorde</w:t>
      </w:r>
      <w:r w:rsidR="003D4999" w:rsidRPr="00CE6165">
        <w:rPr>
          <w:rFonts w:asciiTheme="majorBidi" w:eastAsia="Times New Roman" w:hAnsiTheme="majorBidi" w:cstheme="majorBidi"/>
          <w:sz w:val="24"/>
          <w:szCs w:val="24"/>
        </w:rPr>
        <w:t>r.Behavior</w:t>
      </w:r>
      <w:proofErr w:type="spellEnd"/>
      <w:r w:rsidR="003D4999" w:rsidRPr="00CE6165">
        <w:rPr>
          <w:rFonts w:asciiTheme="majorBidi" w:eastAsia="Times New Roman" w:hAnsiTheme="majorBidi" w:cstheme="majorBidi"/>
          <w:sz w:val="24"/>
          <w:szCs w:val="24"/>
        </w:rPr>
        <w:t xml:space="preserve"> Therapy, 23,551–570.</w:t>
      </w:r>
    </w:p>
    <w:p w:rsidR="003D4999" w:rsidRPr="00CE6165" w:rsidRDefault="00E120D6" w:rsidP="00A076D8">
      <w:pPr>
        <w:autoSpaceDE w:val="0"/>
        <w:autoSpaceDN w:val="0"/>
        <w:adjustRightInd w:val="0"/>
        <w:spacing w:after="0" w:line="240" w:lineRule="auto"/>
        <w:ind w:left="426" w:right="284" w:hanging="426"/>
        <w:jc w:val="both"/>
        <w:rPr>
          <w:rFonts w:asciiTheme="majorBidi" w:hAnsiTheme="majorBidi" w:cstheme="majorBidi"/>
          <w:sz w:val="24"/>
          <w:szCs w:val="24"/>
        </w:rPr>
      </w:pPr>
      <w:r w:rsidRPr="00CE6165">
        <w:rPr>
          <w:rFonts w:asciiTheme="majorBidi" w:hAnsiTheme="majorBidi" w:cstheme="majorBidi"/>
          <w:sz w:val="24"/>
          <w:szCs w:val="24"/>
        </w:rPr>
        <w:t>Clark, D. A., &amp; Beck, A. T. (2011). Cognitive therapy of anxiety disorders: Scien</w:t>
      </w:r>
      <w:r w:rsidR="00192261" w:rsidRPr="00CE6165">
        <w:rPr>
          <w:rFonts w:asciiTheme="majorBidi" w:hAnsiTheme="majorBidi" w:cstheme="majorBidi"/>
          <w:sz w:val="24"/>
          <w:szCs w:val="24"/>
        </w:rPr>
        <w:t>ce and practice. Guilford Press.</w:t>
      </w:r>
    </w:p>
    <w:p w:rsidR="00192261" w:rsidRPr="00CE6165" w:rsidRDefault="00192261" w:rsidP="00A076D8">
      <w:pPr>
        <w:autoSpaceDE w:val="0"/>
        <w:autoSpaceDN w:val="0"/>
        <w:adjustRightInd w:val="0"/>
        <w:spacing w:after="0" w:line="240" w:lineRule="auto"/>
        <w:ind w:left="426" w:right="284" w:hanging="426"/>
        <w:jc w:val="both"/>
        <w:rPr>
          <w:rFonts w:asciiTheme="majorBidi" w:hAnsiTheme="majorBidi" w:cstheme="majorBidi"/>
          <w:sz w:val="24"/>
          <w:szCs w:val="24"/>
        </w:rPr>
      </w:pPr>
    </w:p>
    <w:p w:rsidR="0071360C" w:rsidRPr="00CE6165" w:rsidRDefault="0071360C" w:rsidP="00A076D8">
      <w:pPr>
        <w:spacing w:line="240" w:lineRule="auto"/>
        <w:ind w:left="426" w:hanging="426"/>
        <w:jc w:val="both"/>
        <w:rPr>
          <w:rFonts w:asciiTheme="majorBidi" w:hAnsiTheme="majorBidi" w:cstheme="majorBidi"/>
          <w:sz w:val="24"/>
          <w:szCs w:val="24"/>
        </w:rPr>
      </w:pPr>
      <w:proofErr w:type="spellStart"/>
      <w:r w:rsidRPr="00CE6165">
        <w:rPr>
          <w:rFonts w:asciiTheme="majorBidi" w:hAnsiTheme="majorBidi" w:cstheme="majorBidi"/>
          <w:sz w:val="24"/>
          <w:szCs w:val="24"/>
        </w:rPr>
        <w:lastRenderedPageBreak/>
        <w:t>Covin</w:t>
      </w:r>
      <w:proofErr w:type="spellEnd"/>
      <w:r w:rsidRPr="00CE6165">
        <w:rPr>
          <w:rFonts w:asciiTheme="majorBidi" w:hAnsiTheme="majorBidi" w:cstheme="majorBidi"/>
          <w:sz w:val="24"/>
          <w:szCs w:val="24"/>
        </w:rPr>
        <w:t xml:space="preserve">, R., </w:t>
      </w:r>
      <w:proofErr w:type="spellStart"/>
      <w:r w:rsidRPr="00CE6165">
        <w:rPr>
          <w:rFonts w:asciiTheme="majorBidi" w:hAnsiTheme="majorBidi" w:cstheme="majorBidi"/>
          <w:sz w:val="24"/>
          <w:szCs w:val="24"/>
        </w:rPr>
        <w:t>Ouimet</w:t>
      </w:r>
      <w:proofErr w:type="spellEnd"/>
      <w:r w:rsidRPr="00CE6165">
        <w:rPr>
          <w:rFonts w:asciiTheme="majorBidi" w:hAnsiTheme="majorBidi" w:cstheme="majorBidi"/>
          <w:sz w:val="24"/>
          <w:szCs w:val="24"/>
        </w:rPr>
        <w:t xml:space="preserve">, A. J., Seeds, P. M., &amp; </w:t>
      </w:r>
      <w:proofErr w:type="spellStart"/>
      <w:r w:rsidRPr="00CE6165">
        <w:rPr>
          <w:rFonts w:asciiTheme="majorBidi" w:hAnsiTheme="majorBidi" w:cstheme="majorBidi"/>
          <w:sz w:val="24"/>
          <w:szCs w:val="24"/>
        </w:rPr>
        <w:t>Dozois</w:t>
      </w:r>
      <w:proofErr w:type="spellEnd"/>
      <w:r w:rsidRPr="00CE6165">
        <w:rPr>
          <w:rFonts w:asciiTheme="majorBidi" w:hAnsiTheme="majorBidi" w:cstheme="majorBidi"/>
          <w:sz w:val="24"/>
          <w:szCs w:val="24"/>
        </w:rPr>
        <w:t>, D. J. (2008). A meta-analysis of CBT for pathological worry among clients with GAD. Journal of anxiety disorders, 22(1), 108-116.</w:t>
      </w:r>
    </w:p>
    <w:p w:rsidR="00204BC2" w:rsidRPr="00CE6165" w:rsidRDefault="00204BC2" w:rsidP="00A076D8">
      <w:pPr>
        <w:spacing w:line="240" w:lineRule="auto"/>
        <w:ind w:left="426" w:hanging="426"/>
        <w:jc w:val="both"/>
        <w:rPr>
          <w:rFonts w:asciiTheme="majorBidi" w:hAnsiTheme="majorBidi" w:cstheme="majorBidi"/>
          <w:sz w:val="24"/>
          <w:szCs w:val="24"/>
          <w:rtl/>
        </w:rPr>
      </w:pPr>
      <w:r w:rsidRPr="00CE6165">
        <w:rPr>
          <w:rFonts w:asciiTheme="majorBidi" w:hAnsiTheme="majorBidi" w:cstheme="majorBidi"/>
          <w:sz w:val="24"/>
          <w:szCs w:val="24"/>
        </w:rPr>
        <w:t xml:space="preserve">Dugas, M. J., &amp; </w:t>
      </w:r>
      <w:proofErr w:type="spellStart"/>
      <w:r w:rsidRPr="00CE6165">
        <w:rPr>
          <w:rFonts w:asciiTheme="majorBidi" w:hAnsiTheme="majorBidi" w:cstheme="majorBidi"/>
          <w:sz w:val="24"/>
          <w:szCs w:val="24"/>
        </w:rPr>
        <w:t>Koerner</w:t>
      </w:r>
      <w:proofErr w:type="spellEnd"/>
      <w:r w:rsidRPr="00CE6165">
        <w:rPr>
          <w:rFonts w:asciiTheme="majorBidi" w:hAnsiTheme="majorBidi" w:cstheme="majorBidi"/>
          <w:sz w:val="24"/>
          <w:szCs w:val="24"/>
        </w:rPr>
        <w:t>, N. (2005). Cognitive-behavioral treatment for generalized anxiety disorder: Current status and future directions. Journal of Cognitive Psychotherapy, 19(1), 61-81.</w:t>
      </w:r>
    </w:p>
    <w:p w:rsidR="00204BC2" w:rsidRPr="00CE6165" w:rsidRDefault="00204BC2" w:rsidP="00A076D8">
      <w:pPr>
        <w:spacing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Dugas, M. J., </w:t>
      </w:r>
      <w:proofErr w:type="spellStart"/>
      <w:r w:rsidRPr="00CE6165">
        <w:rPr>
          <w:rFonts w:asciiTheme="majorBidi" w:hAnsiTheme="majorBidi" w:cstheme="majorBidi"/>
          <w:sz w:val="24"/>
          <w:szCs w:val="24"/>
        </w:rPr>
        <w:t>Freeston</w:t>
      </w:r>
      <w:proofErr w:type="spellEnd"/>
      <w:r w:rsidRPr="00CE6165">
        <w:rPr>
          <w:rFonts w:asciiTheme="majorBidi" w:hAnsiTheme="majorBidi" w:cstheme="majorBidi"/>
          <w:sz w:val="24"/>
          <w:szCs w:val="24"/>
        </w:rPr>
        <w:t xml:space="preserve">, M. H., &amp; </w:t>
      </w:r>
      <w:proofErr w:type="spellStart"/>
      <w:r w:rsidRPr="00CE6165">
        <w:rPr>
          <w:rFonts w:asciiTheme="majorBidi" w:hAnsiTheme="majorBidi" w:cstheme="majorBidi"/>
          <w:sz w:val="24"/>
          <w:szCs w:val="24"/>
        </w:rPr>
        <w:t>Ladouceur</w:t>
      </w:r>
      <w:proofErr w:type="spellEnd"/>
      <w:r w:rsidRPr="00CE6165">
        <w:rPr>
          <w:rFonts w:asciiTheme="majorBidi" w:hAnsiTheme="majorBidi" w:cstheme="majorBidi"/>
          <w:sz w:val="24"/>
          <w:szCs w:val="24"/>
        </w:rPr>
        <w:t>, R. (1997). Intolerance of uncertainty and problem orientation in worry. Cognitive therapy and research, 21(6), 593-606.</w:t>
      </w:r>
    </w:p>
    <w:p w:rsidR="00204BC2" w:rsidRPr="00CE6165" w:rsidRDefault="00204BC2" w:rsidP="00A076D8">
      <w:pPr>
        <w:spacing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Dugas, M. J., Gagnon, F., </w:t>
      </w:r>
      <w:proofErr w:type="spellStart"/>
      <w:r w:rsidRPr="00CE6165">
        <w:rPr>
          <w:rFonts w:asciiTheme="majorBidi" w:hAnsiTheme="majorBidi" w:cstheme="majorBidi"/>
          <w:sz w:val="24"/>
          <w:szCs w:val="24"/>
        </w:rPr>
        <w:t>Ladouceur</w:t>
      </w:r>
      <w:proofErr w:type="spellEnd"/>
      <w:r w:rsidRPr="00CE6165">
        <w:rPr>
          <w:rFonts w:asciiTheme="majorBidi" w:hAnsiTheme="majorBidi" w:cstheme="majorBidi"/>
          <w:sz w:val="24"/>
          <w:szCs w:val="24"/>
        </w:rPr>
        <w:t xml:space="preserve">, R., &amp; </w:t>
      </w:r>
      <w:proofErr w:type="spellStart"/>
      <w:r w:rsidRPr="00CE6165">
        <w:rPr>
          <w:rFonts w:asciiTheme="majorBidi" w:hAnsiTheme="majorBidi" w:cstheme="majorBidi"/>
          <w:sz w:val="24"/>
          <w:szCs w:val="24"/>
        </w:rPr>
        <w:t>Freeston</w:t>
      </w:r>
      <w:proofErr w:type="spellEnd"/>
      <w:r w:rsidRPr="00CE6165">
        <w:rPr>
          <w:rFonts w:asciiTheme="majorBidi" w:hAnsiTheme="majorBidi" w:cstheme="majorBidi"/>
          <w:sz w:val="24"/>
          <w:szCs w:val="24"/>
        </w:rPr>
        <w:t>, M. H. (1998). Generalized anxiety disorder:</w:t>
      </w:r>
      <w:r w:rsidRPr="00CE6165">
        <w:rPr>
          <w:rFonts w:asciiTheme="majorBidi" w:hAnsiTheme="majorBidi" w:cstheme="majorBidi"/>
          <w:sz w:val="24"/>
          <w:szCs w:val="24"/>
          <w:rtl/>
        </w:rPr>
        <w:t xml:space="preserve"> </w:t>
      </w:r>
      <w:r w:rsidRPr="00CE6165">
        <w:rPr>
          <w:rFonts w:asciiTheme="majorBidi" w:hAnsiTheme="majorBidi" w:cstheme="majorBidi"/>
          <w:sz w:val="24"/>
          <w:szCs w:val="24"/>
        </w:rPr>
        <w:t xml:space="preserve"> A preliminary test of a conceptual model. </w:t>
      </w:r>
      <w:proofErr w:type="spellStart"/>
      <w:r w:rsidRPr="00CE6165">
        <w:rPr>
          <w:rFonts w:asciiTheme="majorBidi" w:hAnsiTheme="majorBidi" w:cstheme="majorBidi"/>
          <w:sz w:val="24"/>
          <w:szCs w:val="24"/>
        </w:rPr>
        <w:t>Behaviour</w:t>
      </w:r>
      <w:proofErr w:type="spellEnd"/>
      <w:r w:rsidRPr="00CE6165">
        <w:rPr>
          <w:rFonts w:asciiTheme="majorBidi" w:hAnsiTheme="majorBidi" w:cstheme="majorBidi"/>
          <w:sz w:val="24"/>
          <w:szCs w:val="24"/>
        </w:rPr>
        <w:t xml:space="preserve"> Research and</w:t>
      </w:r>
      <w:r w:rsidRPr="00CE6165">
        <w:rPr>
          <w:rFonts w:asciiTheme="majorBidi" w:hAnsiTheme="majorBidi" w:cstheme="majorBidi"/>
          <w:sz w:val="24"/>
          <w:szCs w:val="24"/>
          <w:rtl/>
        </w:rPr>
        <w:t xml:space="preserve"> </w:t>
      </w:r>
      <w:r w:rsidRPr="00CE6165">
        <w:rPr>
          <w:rFonts w:asciiTheme="majorBidi" w:hAnsiTheme="majorBidi" w:cstheme="majorBidi"/>
          <w:sz w:val="24"/>
          <w:szCs w:val="24"/>
        </w:rPr>
        <w:t>Therapy, 36, 215–226.</w:t>
      </w:r>
    </w:p>
    <w:p w:rsidR="00204BC2" w:rsidRPr="00CE6165" w:rsidRDefault="00204BC2" w:rsidP="00A076D8">
      <w:pPr>
        <w:spacing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Dugas, M. J., &amp; Robichaud, M. (2007). Cognitive-behavioral treatment for generalized Anxiety disorder: from science to practice. New York: Routledge. (P24)</w:t>
      </w:r>
      <w:r w:rsidR="00CD34E5" w:rsidRPr="00CE6165">
        <w:rPr>
          <w:rFonts w:asciiTheme="majorBidi" w:hAnsiTheme="majorBidi" w:cstheme="majorBidi"/>
          <w:sz w:val="24"/>
          <w:szCs w:val="24"/>
        </w:rPr>
        <w:t>.</w:t>
      </w:r>
    </w:p>
    <w:p w:rsidR="00204BC2" w:rsidRPr="00CE6165" w:rsidRDefault="00204BC2" w:rsidP="00A076D8">
      <w:pPr>
        <w:spacing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Dugas, M. J., </w:t>
      </w:r>
      <w:proofErr w:type="spellStart"/>
      <w:r w:rsidRPr="00CE6165">
        <w:rPr>
          <w:rFonts w:asciiTheme="majorBidi" w:hAnsiTheme="majorBidi" w:cstheme="majorBidi"/>
          <w:sz w:val="24"/>
          <w:szCs w:val="24"/>
        </w:rPr>
        <w:t>Brillon</w:t>
      </w:r>
      <w:proofErr w:type="spellEnd"/>
      <w:r w:rsidRPr="00CE6165">
        <w:rPr>
          <w:rFonts w:asciiTheme="majorBidi" w:hAnsiTheme="majorBidi" w:cstheme="majorBidi"/>
          <w:sz w:val="24"/>
          <w:szCs w:val="24"/>
        </w:rPr>
        <w:t xml:space="preserve">, P., </w:t>
      </w:r>
      <w:proofErr w:type="spellStart"/>
      <w:r w:rsidRPr="00CE6165">
        <w:rPr>
          <w:rFonts w:asciiTheme="majorBidi" w:hAnsiTheme="majorBidi" w:cstheme="majorBidi"/>
          <w:sz w:val="24"/>
          <w:szCs w:val="24"/>
        </w:rPr>
        <w:t>Savard</w:t>
      </w:r>
      <w:proofErr w:type="spellEnd"/>
      <w:r w:rsidRPr="00CE6165">
        <w:rPr>
          <w:rFonts w:asciiTheme="majorBidi" w:hAnsiTheme="majorBidi" w:cstheme="majorBidi"/>
          <w:sz w:val="24"/>
          <w:szCs w:val="24"/>
        </w:rPr>
        <w:t xml:space="preserve">, P., </w:t>
      </w:r>
      <w:proofErr w:type="spellStart"/>
      <w:r w:rsidRPr="00CE6165">
        <w:rPr>
          <w:rFonts w:asciiTheme="majorBidi" w:hAnsiTheme="majorBidi" w:cstheme="majorBidi"/>
          <w:sz w:val="24"/>
          <w:szCs w:val="24"/>
        </w:rPr>
        <w:t>Turcotte</w:t>
      </w:r>
      <w:proofErr w:type="spellEnd"/>
      <w:r w:rsidRPr="00CE6165">
        <w:rPr>
          <w:rFonts w:asciiTheme="majorBidi" w:hAnsiTheme="majorBidi" w:cstheme="majorBidi"/>
          <w:sz w:val="24"/>
          <w:szCs w:val="24"/>
        </w:rPr>
        <w:t xml:space="preserve">, J., </w:t>
      </w:r>
      <w:proofErr w:type="spellStart"/>
      <w:r w:rsidRPr="00CE6165">
        <w:rPr>
          <w:rFonts w:asciiTheme="majorBidi" w:hAnsiTheme="majorBidi" w:cstheme="majorBidi"/>
          <w:sz w:val="24"/>
          <w:szCs w:val="24"/>
        </w:rPr>
        <w:t>Gaudet</w:t>
      </w:r>
      <w:proofErr w:type="spellEnd"/>
      <w:r w:rsidRPr="00CE6165">
        <w:rPr>
          <w:rFonts w:asciiTheme="majorBidi" w:hAnsiTheme="majorBidi" w:cstheme="majorBidi"/>
          <w:sz w:val="24"/>
          <w:szCs w:val="24"/>
        </w:rPr>
        <w:t xml:space="preserve">, A., </w:t>
      </w:r>
      <w:proofErr w:type="spellStart"/>
      <w:r w:rsidRPr="00CE6165">
        <w:rPr>
          <w:rFonts w:asciiTheme="majorBidi" w:hAnsiTheme="majorBidi" w:cstheme="majorBidi"/>
          <w:sz w:val="24"/>
          <w:szCs w:val="24"/>
        </w:rPr>
        <w:t>Ladouceur</w:t>
      </w:r>
      <w:proofErr w:type="spellEnd"/>
      <w:r w:rsidRPr="00CE6165">
        <w:rPr>
          <w:rFonts w:asciiTheme="majorBidi" w:hAnsiTheme="majorBidi" w:cstheme="majorBidi"/>
          <w:sz w:val="24"/>
          <w:szCs w:val="24"/>
        </w:rPr>
        <w:t xml:space="preserve">, R., et al. (2010). A randomized clinical trial of cognitive- behavioral therapy and applied relaxation for adults with generalized anxiety disorder. Behavior Therapy, 41(1), 46–58.   </w:t>
      </w:r>
    </w:p>
    <w:p w:rsidR="00204BC2" w:rsidRPr="00CE6165" w:rsidRDefault="00204BC2" w:rsidP="00A076D8">
      <w:pPr>
        <w:spacing w:line="240" w:lineRule="auto"/>
        <w:ind w:left="426" w:hanging="426"/>
        <w:jc w:val="both"/>
        <w:rPr>
          <w:rFonts w:asciiTheme="majorBidi" w:hAnsiTheme="majorBidi" w:cstheme="majorBidi"/>
          <w:sz w:val="24"/>
          <w:szCs w:val="24"/>
          <w:rtl/>
        </w:rPr>
      </w:pPr>
      <w:proofErr w:type="spellStart"/>
      <w:r w:rsidRPr="00CE6165">
        <w:rPr>
          <w:rFonts w:asciiTheme="majorBidi" w:hAnsiTheme="majorBidi" w:cstheme="majorBidi"/>
          <w:sz w:val="24"/>
          <w:szCs w:val="24"/>
        </w:rPr>
        <w:t>D’Zurilla</w:t>
      </w:r>
      <w:proofErr w:type="spellEnd"/>
      <w:r w:rsidRPr="00CE6165">
        <w:rPr>
          <w:rFonts w:asciiTheme="majorBidi" w:hAnsiTheme="majorBidi" w:cstheme="majorBidi"/>
          <w:sz w:val="24"/>
          <w:szCs w:val="24"/>
        </w:rPr>
        <w:t xml:space="preserve">, T. J., &amp; </w:t>
      </w:r>
      <w:proofErr w:type="spellStart"/>
      <w:r w:rsidRPr="00CE6165">
        <w:rPr>
          <w:rFonts w:asciiTheme="majorBidi" w:hAnsiTheme="majorBidi" w:cstheme="majorBidi"/>
          <w:sz w:val="24"/>
          <w:szCs w:val="24"/>
        </w:rPr>
        <w:t>Nezu</w:t>
      </w:r>
      <w:proofErr w:type="spellEnd"/>
      <w:r w:rsidRPr="00CE6165">
        <w:rPr>
          <w:rFonts w:asciiTheme="majorBidi" w:hAnsiTheme="majorBidi" w:cstheme="majorBidi"/>
          <w:sz w:val="24"/>
          <w:szCs w:val="24"/>
        </w:rPr>
        <w:t>, A. M. (2010). Problem-solving therapy. Handbook of cognitive-behavioral therapies, 3, 197-225.</w:t>
      </w:r>
    </w:p>
    <w:p w:rsidR="00204BC2" w:rsidRPr="00CE6165" w:rsidRDefault="00204BC2" w:rsidP="00A076D8">
      <w:pPr>
        <w:spacing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First, M. B., Williams, J. B. W., </w:t>
      </w:r>
      <w:proofErr w:type="spellStart"/>
      <w:r w:rsidRPr="00CE6165">
        <w:rPr>
          <w:rFonts w:asciiTheme="majorBidi" w:hAnsiTheme="majorBidi" w:cstheme="majorBidi"/>
          <w:sz w:val="24"/>
          <w:szCs w:val="24"/>
        </w:rPr>
        <w:t>Karg</w:t>
      </w:r>
      <w:proofErr w:type="spellEnd"/>
      <w:r w:rsidRPr="00CE6165">
        <w:rPr>
          <w:rFonts w:asciiTheme="majorBidi" w:hAnsiTheme="majorBidi" w:cstheme="majorBidi"/>
          <w:sz w:val="24"/>
          <w:szCs w:val="24"/>
        </w:rPr>
        <w:t>, R. S., &amp; Spitzer, R. L. (2015). Structured clinical interview for DSM-5 disorders, clinician version (SCID-5-CV). Arlington, VA: American Psychiatric Association.</w:t>
      </w:r>
    </w:p>
    <w:p w:rsidR="00B515BB" w:rsidRPr="00CE6165" w:rsidRDefault="00B515BB" w:rsidP="00A076D8">
      <w:pPr>
        <w:spacing w:line="240" w:lineRule="auto"/>
        <w:ind w:left="426" w:hanging="426"/>
        <w:jc w:val="both"/>
        <w:rPr>
          <w:rFonts w:asciiTheme="majorBidi" w:hAnsiTheme="majorBidi" w:cstheme="majorBidi"/>
          <w:sz w:val="24"/>
          <w:szCs w:val="24"/>
        </w:rPr>
      </w:pPr>
      <w:proofErr w:type="spellStart"/>
      <w:r w:rsidRPr="00CE6165">
        <w:rPr>
          <w:rFonts w:asciiTheme="majorBidi" w:hAnsiTheme="majorBidi" w:cstheme="majorBidi"/>
          <w:sz w:val="24"/>
          <w:szCs w:val="24"/>
        </w:rPr>
        <w:t>Gonçalves</w:t>
      </w:r>
      <w:proofErr w:type="spellEnd"/>
      <w:r w:rsidRPr="00CE6165">
        <w:rPr>
          <w:rFonts w:asciiTheme="majorBidi" w:hAnsiTheme="majorBidi" w:cstheme="majorBidi"/>
          <w:sz w:val="24"/>
          <w:szCs w:val="24"/>
        </w:rPr>
        <w:t>, D. C., &amp; Byrne, G. J. (2012). Interventions for generalized anxiety disorder in older adults: Systematic review and meta-analysis. Journal of Anxiety Disorders, 26, 1–11.</w:t>
      </w:r>
    </w:p>
    <w:p w:rsidR="005E3FBD" w:rsidRPr="00CE6165" w:rsidRDefault="005E3FBD" w:rsidP="00A076D8">
      <w:pPr>
        <w:spacing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Gosselin, P., Pelletier, O., &amp; </w:t>
      </w:r>
      <w:proofErr w:type="spellStart"/>
      <w:r w:rsidRPr="00CE6165">
        <w:rPr>
          <w:rFonts w:asciiTheme="majorBidi" w:hAnsiTheme="majorBidi" w:cstheme="majorBidi"/>
          <w:sz w:val="24"/>
          <w:szCs w:val="24"/>
        </w:rPr>
        <w:t>Ladouceur</w:t>
      </w:r>
      <w:proofErr w:type="spellEnd"/>
      <w:r w:rsidRPr="00CE6165">
        <w:rPr>
          <w:rFonts w:asciiTheme="majorBidi" w:hAnsiTheme="majorBidi" w:cstheme="majorBidi"/>
          <w:sz w:val="24"/>
          <w:szCs w:val="24"/>
        </w:rPr>
        <w:t>, R. (2001). The Negative Problem Orientation Questionnaire (NPOQ): Development and validation among a non-clinical sample. In Poster session presented at the world congress of behavioral and cognitive therapies, Vancouver, BC.</w:t>
      </w:r>
    </w:p>
    <w:p w:rsidR="00B515BB" w:rsidRPr="00CE6165" w:rsidRDefault="00B515BB" w:rsidP="00A076D8">
      <w:pPr>
        <w:spacing w:line="240" w:lineRule="auto"/>
        <w:ind w:left="426" w:hanging="426"/>
        <w:jc w:val="both"/>
        <w:rPr>
          <w:rFonts w:asciiTheme="majorBidi" w:eastAsia="Times New Roman" w:hAnsiTheme="majorBidi" w:cstheme="majorBidi"/>
          <w:sz w:val="24"/>
          <w:szCs w:val="24"/>
        </w:rPr>
      </w:pPr>
      <w:r w:rsidRPr="00CE6165">
        <w:rPr>
          <w:rFonts w:asciiTheme="majorBidi" w:eastAsia="Times New Roman" w:hAnsiTheme="majorBidi" w:cstheme="majorBidi"/>
          <w:sz w:val="24"/>
          <w:szCs w:val="24"/>
        </w:rPr>
        <w:t>Hanrahan, F., Field, A. P., Jones, F. W., &amp; Davey, G. C. (2013). A meta-analysis of cognitive therapy for worry in generalized anxiety disorder. Clinical psychology review, 33(1), 120-132.</w:t>
      </w:r>
    </w:p>
    <w:p w:rsidR="00B515BB" w:rsidRPr="00CE6165" w:rsidRDefault="00B515BB" w:rsidP="00A076D8">
      <w:pPr>
        <w:autoSpaceDE w:val="0"/>
        <w:autoSpaceDN w:val="0"/>
        <w:adjustRightInd w:val="0"/>
        <w:spacing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Hayes- Skelton, S. A., Roemer, L., &amp; </w:t>
      </w:r>
      <w:proofErr w:type="spellStart"/>
      <w:r w:rsidRPr="00CE6165">
        <w:rPr>
          <w:rFonts w:asciiTheme="majorBidi" w:hAnsiTheme="majorBidi" w:cstheme="majorBidi"/>
          <w:sz w:val="24"/>
          <w:szCs w:val="24"/>
        </w:rPr>
        <w:t>Orsillo</w:t>
      </w:r>
      <w:proofErr w:type="spellEnd"/>
      <w:r w:rsidRPr="00CE6165">
        <w:rPr>
          <w:rFonts w:asciiTheme="majorBidi" w:hAnsiTheme="majorBidi" w:cstheme="majorBidi"/>
          <w:sz w:val="24"/>
          <w:szCs w:val="24"/>
        </w:rPr>
        <w:t>, S. M. (2013). A randomized clinical trial comparing an acceptance based behavior therapy to applied relaxation for generalized anxiety disorder. Journal of Consulting and Clinical Psychology, 81(5), 761–773.</w:t>
      </w:r>
    </w:p>
    <w:p w:rsidR="00B515BB" w:rsidRPr="00CE6165" w:rsidRDefault="00B515BB" w:rsidP="00A076D8">
      <w:pPr>
        <w:spacing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Hebert, E. A., Dugas, M. J., Tulloch, T. G., &amp; Holowka, D. W. (2014). Positive beliefs about worry: A   psychometric evaluation of the Why Worry-II. Personality and Individual Differences, 56, 3-8.</w:t>
      </w:r>
    </w:p>
    <w:p w:rsidR="00B515BB" w:rsidRPr="00CE6165" w:rsidRDefault="00B515BB" w:rsidP="00A076D8">
      <w:pPr>
        <w:spacing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Holowka, D. W., Dugas, M. J., Francis, K., &amp; </w:t>
      </w:r>
      <w:proofErr w:type="spellStart"/>
      <w:r w:rsidRPr="00CE6165">
        <w:rPr>
          <w:rFonts w:asciiTheme="majorBidi" w:hAnsiTheme="majorBidi" w:cstheme="majorBidi"/>
          <w:sz w:val="24"/>
          <w:szCs w:val="24"/>
        </w:rPr>
        <w:t>Laugesen</w:t>
      </w:r>
      <w:proofErr w:type="spellEnd"/>
      <w:r w:rsidRPr="00CE6165">
        <w:rPr>
          <w:rFonts w:asciiTheme="majorBidi" w:hAnsiTheme="majorBidi" w:cstheme="majorBidi"/>
          <w:sz w:val="24"/>
          <w:szCs w:val="24"/>
        </w:rPr>
        <w:t>, N. (2000, November). Measuring beliefs about worry: A psychometric evaluation of the Why Worry-II Questionnaire. In Poster presented at the annual convention of the Association for Advancement of Behavior Therapy, New Orleans, LA.</w:t>
      </w:r>
    </w:p>
    <w:p w:rsidR="00E34FED" w:rsidRPr="00CE6165" w:rsidRDefault="00E34FED" w:rsidP="00A076D8">
      <w:pPr>
        <w:autoSpaceDE w:val="0"/>
        <w:autoSpaceDN w:val="0"/>
        <w:adjustRightInd w:val="0"/>
        <w:spacing w:line="240" w:lineRule="auto"/>
        <w:ind w:left="426" w:hanging="426"/>
        <w:jc w:val="both"/>
        <w:rPr>
          <w:rFonts w:asciiTheme="majorBidi" w:hAnsiTheme="majorBidi" w:cstheme="majorBidi"/>
          <w:color w:val="222222"/>
          <w:sz w:val="24"/>
          <w:szCs w:val="24"/>
          <w:shd w:val="clear" w:color="auto" w:fill="FFFFFF"/>
        </w:rPr>
      </w:pPr>
      <w:r w:rsidRPr="00CE6165">
        <w:rPr>
          <w:rFonts w:asciiTheme="majorBidi" w:hAnsiTheme="majorBidi" w:cstheme="majorBidi"/>
          <w:color w:val="222222"/>
          <w:sz w:val="24"/>
          <w:szCs w:val="24"/>
          <w:shd w:val="clear" w:color="auto" w:fill="FFFFFF"/>
        </w:rPr>
        <w:lastRenderedPageBreak/>
        <w:t xml:space="preserve">Hui, C., &amp; </w:t>
      </w:r>
      <w:proofErr w:type="spellStart"/>
      <w:r w:rsidRPr="00CE6165">
        <w:rPr>
          <w:rFonts w:asciiTheme="majorBidi" w:hAnsiTheme="majorBidi" w:cstheme="majorBidi"/>
          <w:color w:val="222222"/>
          <w:sz w:val="24"/>
          <w:szCs w:val="24"/>
          <w:shd w:val="clear" w:color="auto" w:fill="FFFFFF"/>
        </w:rPr>
        <w:t>Zhihui</w:t>
      </w:r>
      <w:proofErr w:type="spellEnd"/>
      <w:r w:rsidRPr="00CE6165">
        <w:rPr>
          <w:rFonts w:asciiTheme="majorBidi" w:hAnsiTheme="majorBidi" w:cstheme="majorBidi"/>
          <w:color w:val="222222"/>
          <w:sz w:val="24"/>
          <w:szCs w:val="24"/>
          <w:shd w:val="clear" w:color="auto" w:fill="FFFFFF"/>
        </w:rPr>
        <w:t xml:space="preserve">, Y. (2016). </w:t>
      </w:r>
      <w:r w:rsidRPr="00CE6165">
        <w:rPr>
          <w:rFonts w:asciiTheme="majorBidi" w:hAnsiTheme="majorBidi" w:cstheme="majorBidi"/>
          <w:sz w:val="24"/>
          <w:szCs w:val="24"/>
        </w:rPr>
        <w:t>Group cognitive behavioral therapy targeting intolerance of uncertainty: a randomized trial for older Chinese adults with generalized anxiety disorder. </w:t>
      </w:r>
      <w:r w:rsidRPr="00CE6165">
        <w:rPr>
          <w:rFonts w:asciiTheme="majorBidi" w:hAnsiTheme="majorBidi" w:cstheme="majorBidi"/>
          <w:i/>
          <w:iCs/>
          <w:color w:val="222222"/>
          <w:sz w:val="24"/>
          <w:szCs w:val="24"/>
          <w:shd w:val="clear" w:color="auto" w:fill="FFFFFF"/>
        </w:rPr>
        <w:t>Aging &amp; Mental Health</w:t>
      </w:r>
      <w:r w:rsidRPr="00CE6165">
        <w:rPr>
          <w:rFonts w:asciiTheme="majorBidi" w:hAnsiTheme="majorBidi" w:cstheme="majorBidi"/>
          <w:color w:val="222222"/>
          <w:sz w:val="24"/>
          <w:szCs w:val="24"/>
          <w:shd w:val="clear" w:color="auto" w:fill="FFFFFF"/>
        </w:rPr>
        <w:t>, 1-9.</w:t>
      </w:r>
    </w:p>
    <w:p w:rsidR="00B515BB" w:rsidRPr="00CE6165" w:rsidRDefault="00B515BB" w:rsidP="00A076D8">
      <w:pPr>
        <w:autoSpaceDE w:val="0"/>
        <w:autoSpaceDN w:val="0"/>
        <w:adjustRightInd w:val="0"/>
        <w:spacing w:line="240" w:lineRule="auto"/>
        <w:ind w:left="426" w:hanging="426"/>
        <w:jc w:val="both"/>
        <w:rPr>
          <w:rFonts w:asciiTheme="majorBidi" w:hAnsiTheme="majorBidi" w:cstheme="majorBidi"/>
          <w:sz w:val="24"/>
          <w:szCs w:val="24"/>
        </w:rPr>
      </w:pPr>
      <w:proofErr w:type="spellStart"/>
      <w:r w:rsidRPr="00CE6165">
        <w:rPr>
          <w:rFonts w:asciiTheme="majorBidi" w:hAnsiTheme="majorBidi" w:cstheme="majorBidi"/>
          <w:sz w:val="24"/>
          <w:szCs w:val="24"/>
        </w:rPr>
        <w:t>Katzman</w:t>
      </w:r>
      <w:proofErr w:type="spellEnd"/>
      <w:r w:rsidRPr="00CE6165">
        <w:rPr>
          <w:rFonts w:asciiTheme="majorBidi" w:hAnsiTheme="majorBidi" w:cstheme="majorBidi"/>
          <w:sz w:val="24"/>
          <w:szCs w:val="24"/>
        </w:rPr>
        <w:t xml:space="preserve">, M. A., </w:t>
      </w:r>
      <w:proofErr w:type="spellStart"/>
      <w:r w:rsidRPr="00CE6165">
        <w:rPr>
          <w:rFonts w:asciiTheme="majorBidi" w:hAnsiTheme="majorBidi" w:cstheme="majorBidi"/>
          <w:sz w:val="24"/>
          <w:szCs w:val="24"/>
        </w:rPr>
        <w:t>Bleau</w:t>
      </w:r>
      <w:proofErr w:type="spellEnd"/>
      <w:r w:rsidRPr="00CE6165">
        <w:rPr>
          <w:rFonts w:asciiTheme="majorBidi" w:hAnsiTheme="majorBidi" w:cstheme="majorBidi"/>
          <w:sz w:val="24"/>
          <w:szCs w:val="24"/>
        </w:rPr>
        <w:t xml:space="preserve">, P., </w:t>
      </w:r>
      <w:proofErr w:type="spellStart"/>
      <w:r w:rsidRPr="00CE6165">
        <w:rPr>
          <w:rFonts w:asciiTheme="majorBidi" w:hAnsiTheme="majorBidi" w:cstheme="majorBidi"/>
          <w:sz w:val="24"/>
          <w:szCs w:val="24"/>
        </w:rPr>
        <w:t>Blier</w:t>
      </w:r>
      <w:proofErr w:type="spellEnd"/>
      <w:r w:rsidRPr="00CE6165">
        <w:rPr>
          <w:rFonts w:asciiTheme="majorBidi" w:hAnsiTheme="majorBidi" w:cstheme="majorBidi"/>
          <w:sz w:val="24"/>
          <w:szCs w:val="24"/>
        </w:rPr>
        <w:t xml:space="preserve">, P., </w:t>
      </w:r>
      <w:proofErr w:type="spellStart"/>
      <w:r w:rsidRPr="00CE6165">
        <w:rPr>
          <w:rFonts w:asciiTheme="majorBidi" w:hAnsiTheme="majorBidi" w:cstheme="majorBidi"/>
          <w:sz w:val="24"/>
          <w:szCs w:val="24"/>
        </w:rPr>
        <w:t>Chokka</w:t>
      </w:r>
      <w:proofErr w:type="spellEnd"/>
      <w:r w:rsidRPr="00CE6165">
        <w:rPr>
          <w:rFonts w:asciiTheme="majorBidi" w:hAnsiTheme="majorBidi" w:cstheme="majorBidi"/>
          <w:sz w:val="24"/>
          <w:szCs w:val="24"/>
        </w:rPr>
        <w:t xml:space="preserve">, P., </w:t>
      </w:r>
      <w:proofErr w:type="spellStart"/>
      <w:r w:rsidRPr="00CE6165">
        <w:rPr>
          <w:rFonts w:asciiTheme="majorBidi" w:hAnsiTheme="majorBidi" w:cstheme="majorBidi"/>
          <w:sz w:val="24"/>
          <w:szCs w:val="24"/>
        </w:rPr>
        <w:t>Kjernisted</w:t>
      </w:r>
      <w:proofErr w:type="spellEnd"/>
      <w:r w:rsidRPr="00CE6165">
        <w:rPr>
          <w:rFonts w:asciiTheme="majorBidi" w:hAnsiTheme="majorBidi" w:cstheme="majorBidi"/>
          <w:sz w:val="24"/>
          <w:szCs w:val="24"/>
        </w:rPr>
        <w:t xml:space="preserve">, K., &amp; Van </w:t>
      </w:r>
      <w:proofErr w:type="spellStart"/>
      <w:r w:rsidRPr="00CE6165">
        <w:rPr>
          <w:rFonts w:asciiTheme="majorBidi" w:hAnsiTheme="majorBidi" w:cstheme="majorBidi"/>
          <w:sz w:val="24"/>
          <w:szCs w:val="24"/>
        </w:rPr>
        <w:t>Ameringen</w:t>
      </w:r>
      <w:proofErr w:type="spellEnd"/>
      <w:r w:rsidRPr="00CE6165">
        <w:rPr>
          <w:rFonts w:asciiTheme="majorBidi" w:hAnsiTheme="majorBidi" w:cstheme="majorBidi"/>
          <w:sz w:val="24"/>
          <w:szCs w:val="24"/>
        </w:rPr>
        <w:t>, M. (2014). Canadian clinical practice guidelines for the management of anxiety, posttraumatic stress and obsessive-compulsive disorders. BMC psychiatry, 14(1), S1.</w:t>
      </w:r>
    </w:p>
    <w:p w:rsidR="00B515BB" w:rsidRPr="00CE6165" w:rsidRDefault="00B515BB" w:rsidP="00A076D8">
      <w:pPr>
        <w:spacing w:line="240" w:lineRule="auto"/>
        <w:ind w:left="426" w:hanging="426"/>
        <w:jc w:val="both"/>
        <w:rPr>
          <w:rFonts w:asciiTheme="majorBidi" w:hAnsiTheme="majorBidi" w:cstheme="majorBidi"/>
          <w:sz w:val="24"/>
          <w:szCs w:val="24"/>
        </w:rPr>
      </w:pPr>
      <w:proofErr w:type="spellStart"/>
      <w:r w:rsidRPr="00CE6165">
        <w:rPr>
          <w:rFonts w:asciiTheme="majorBidi" w:hAnsiTheme="majorBidi" w:cstheme="majorBidi"/>
          <w:sz w:val="24"/>
          <w:szCs w:val="24"/>
        </w:rPr>
        <w:t>Kaviani</w:t>
      </w:r>
      <w:proofErr w:type="spellEnd"/>
      <w:r w:rsidRPr="00CE6165">
        <w:rPr>
          <w:rFonts w:asciiTheme="majorBidi" w:hAnsiTheme="majorBidi" w:cstheme="majorBidi"/>
          <w:sz w:val="24"/>
          <w:szCs w:val="24"/>
        </w:rPr>
        <w:t>, H., &amp; Mousavi, A. S. (2008). Psychometric properties of the Persian version of Beck Anxiety Inventory (BAI). Tehran University Medical Journal TUMS Publications, 66(2), 136-140.</w:t>
      </w:r>
    </w:p>
    <w:p w:rsidR="00B515BB" w:rsidRPr="00CE6165" w:rsidRDefault="00B515BB" w:rsidP="00A076D8">
      <w:pPr>
        <w:spacing w:after="0"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Kessler, R.C., </w:t>
      </w:r>
      <w:proofErr w:type="spellStart"/>
      <w:r w:rsidRPr="00CE6165">
        <w:rPr>
          <w:rFonts w:asciiTheme="majorBidi" w:hAnsiTheme="majorBidi" w:cstheme="majorBidi"/>
          <w:sz w:val="24"/>
          <w:szCs w:val="24"/>
        </w:rPr>
        <w:t>Petukhova</w:t>
      </w:r>
      <w:proofErr w:type="spellEnd"/>
      <w:r w:rsidRPr="00CE6165">
        <w:rPr>
          <w:rFonts w:asciiTheme="majorBidi" w:hAnsiTheme="majorBidi" w:cstheme="majorBidi"/>
          <w:sz w:val="24"/>
          <w:szCs w:val="24"/>
        </w:rPr>
        <w:t xml:space="preserve">, M., Sampson, N.A., </w:t>
      </w:r>
      <w:proofErr w:type="spellStart"/>
      <w:r w:rsidRPr="00CE6165">
        <w:rPr>
          <w:rFonts w:asciiTheme="majorBidi" w:hAnsiTheme="majorBidi" w:cstheme="majorBidi"/>
          <w:sz w:val="24"/>
          <w:szCs w:val="24"/>
        </w:rPr>
        <w:t>Zaslavsky</w:t>
      </w:r>
      <w:proofErr w:type="spellEnd"/>
      <w:r w:rsidRPr="00CE6165">
        <w:rPr>
          <w:rFonts w:asciiTheme="majorBidi" w:hAnsiTheme="majorBidi" w:cstheme="majorBidi"/>
          <w:sz w:val="24"/>
          <w:szCs w:val="24"/>
        </w:rPr>
        <w:t xml:space="preserve">, A.M., </w:t>
      </w:r>
      <w:proofErr w:type="spellStart"/>
      <w:r w:rsidRPr="00CE6165">
        <w:rPr>
          <w:rFonts w:asciiTheme="majorBidi" w:hAnsiTheme="majorBidi" w:cstheme="majorBidi"/>
          <w:sz w:val="24"/>
          <w:szCs w:val="24"/>
        </w:rPr>
        <w:t>Wittchen</w:t>
      </w:r>
      <w:proofErr w:type="spellEnd"/>
      <w:r w:rsidRPr="00CE6165">
        <w:rPr>
          <w:rFonts w:asciiTheme="majorBidi" w:hAnsiTheme="majorBidi" w:cstheme="majorBidi"/>
          <w:sz w:val="24"/>
          <w:szCs w:val="24"/>
        </w:rPr>
        <w:t xml:space="preserve">, H.U. (2012). Twelve-month and lifetime prevalence and lifetime morbid risk of anxiety and mood disorders in the United States. </w:t>
      </w:r>
      <w:proofErr w:type="spellStart"/>
      <w:r w:rsidRPr="00CE6165">
        <w:rPr>
          <w:rFonts w:asciiTheme="majorBidi" w:hAnsiTheme="majorBidi" w:cstheme="majorBidi"/>
          <w:i/>
          <w:iCs/>
          <w:sz w:val="24"/>
          <w:szCs w:val="24"/>
        </w:rPr>
        <w:t>Int</w:t>
      </w:r>
      <w:proofErr w:type="spellEnd"/>
      <w:r w:rsidRPr="00CE6165">
        <w:rPr>
          <w:rFonts w:asciiTheme="majorBidi" w:hAnsiTheme="majorBidi" w:cstheme="majorBidi"/>
          <w:i/>
          <w:iCs/>
          <w:sz w:val="24"/>
          <w:szCs w:val="24"/>
        </w:rPr>
        <w:t xml:space="preserve"> J Methods </w:t>
      </w:r>
      <w:proofErr w:type="spellStart"/>
      <w:r w:rsidRPr="00CE6165">
        <w:rPr>
          <w:rFonts w:asciiTheme="majorBidi" w:hAnsiTheme="majorBidi" w:cstheme="majorBidi"/>
          <w:i/>
          <w:iCs/>
          <w:sz w:val="24"/>
          <w:szCs w:val="24"/>
        </w:rPr>
        <w:t>Psychiatr</w:t>
      </w:r>
      <w:proofErr w:type="spellEnd"/>
      <w:r w:rsidRPr="00CE6165">
        <w:rPr>
          <w:rFonts w:asciiTheme="majorBidi" w:hAnsiTheme="majorBidi" w:cstheme="majorBidi"/>
          <w:i/>
          <w:iCs/>
          <w:sz w:val="24"/>
          <w:szCs w:val="24"/>
        </w:rPr>
        <w:t xml:space="preserve"> Res</w:t>
      </w:r>
      <w:r w:rsidRPr="00CE6165">
        <w:rPr>
          <w:rFonts w:asciiTheme="majorBidi" w:hAnsiTheme="majorBidi" w:cstheme="majorBidi"/>
          <w:sz w:val="24"/>
          <w:szCs w:val="24"/>
        </w:rPr>
        <w:t xml:space="preserve">. 21:169-84 </w:t>
      </w:r>
    </w:p>
    <w:p w:rsidR="00B515BB" w:rsidRPr="00CE6165" w:rsidRDefault="00B515BB" w:rsidP="00A076D8">
      <w:pPr>
        <w:spacing w:after="0" w:line="240" w:lineRule="auto"/>
        <w:ind w:left="426" w:hanging="426"/>
        <w:jc w:val="both"/>
        <w:rPr>
          <w:rFonts w:asciiTheme="majorBidi" w:hAnsiTheme="majorBidi" w:cstheme="majorBidi"/>
          <w:sz w:val="24"/>
          <w:szCs w:val="24"/>
        </w:rPr>
      </w:pPr>
    </w:p>
    <w:p w:rsidR="00B515BB" w:rsidRPr="00CE6165" w:rsidRDefault="00B515BB" w:rsidP="00A076D8">
      <w:pPr>
        <w:spacing w:line="240" w:lineRule="auto"/>
        <w:ind w:left="426" w:hanging="426"/>
        <w:jc w:val="both"/>
        <w:rPr>
          <w:rFonts w:asciiTheme="majorBidi" w:hAnsiTheme="majorBidi" w:cstheme="majorBidi"/>
          <w:sz w:val="24"/>
          <w:szCs w:val="24"/>
          <w:rtl/>
        </w:rPr>
      </w:pPr>
      <w:proofErr w:type="spellStart"/>
      <w:r w:rsidRPr="00CE6165">
        <w:rPr>
          <w:rFonts w:asciiTheme="majorBidi" w:hAnsiTheme="majorBidi" w:cstheme="majorBidi"/>
          <w:sz w:val="24"/>
          <w:szCs w:val="24"/>
        </w:rPr>
        <w:t>Koerner</w:t>
      </w:r>
      <w:proofErr w:type="spellEnd"/>
      <w:r w:rsidRPr="00CE6165">
        <w:rPr>
          <w:rFonts w:asciiTheme="majorBidi" w:hAnsiTheme="majorBidi" w:cstheme="majorBidi"/>
          <w:sz w:val="24"/>
          <w:szCs w:val="24"/>
        </w:rPr>
        <w:t xml:space="preserve">, N., Dugas, M. J., </w:t>
      </w:r>
      <w:proofErr w:type="spellStart"/>
      <w:r w:rsidRPr="00CE6165">
        <w:rPr>
          <w:rFonts w:asciiTheme="majorBidi" w:hAnsiTheme="majorBidi" w:cstheme="majorBidi"/>
          <w:sz w:val="24"/>
          <w:szCs w:val="24"/>
        </w:rPr>
        <w:t>Savard</w:t>
      </w:r>
      <w:proofErr w:type="spellEnd"/>
      <w:r w:rsidRPr="00CE6165">
        <w:rPr>
          <w:rFonts w:asciiTheme="majorBidi" w:hAnsiTheme="majorBidi" w:cstheme="majorBidi"/>
          <w:sz w:val="24"/>
          <w:szCs w:val="24"/>
        </w:rPr>
        <w:t xml:space="preserve">, P., </w:t>
      </w:r>
      <w:proofErr w:type="spellStart"/>
      <w:r w:rsidRPr="00CE6165">
        <w:rPr>
          <w:rFonts w:asciiTheme="majorBidi" w:hAnsiTheme="majorBidi" w:cstheme="majorBidi"/>
          <w:sz w:val="24"/>
          <w:szCs w:val="24"/>
        </w:rPr>
        <w:t>Gaudet</w:t>
      </w:r>
      <w:proofErr w:type="spellEnd"/>
      <w:r w:rsidRPr="00CE6165">
        <w:rPr>
          <w:rFonts w:asciiTheme="majorBidi" w:hAnsiTheme="majorBidi" w:cstheme="majorBidi"/>
          <w:sz w:val="24"/>
          <w:szCs w:val="24"/>
        </w:rPr>
        <w:t xml:space="preserve">, A., </w:t>
      </w:r>
      <w:proofErr w:type="spellStart"/>
      <w:r w:rsidRPr="00CE6165">
        <w:rPr>
          <w:rFonts w:asciiTheme="majorBidi" w:hAnsiTheme="majorBidi" w:cstheme="majorBidi"/>
          <w:sz w:val="24"/>
          <w:szCs w:val="24"/>
        </w:rPr>
        <w:t>Turcotte</w:t>
      </w:r>
      <w:proofErr w:type="spellEnd"/>
      <w:r w:rsidRPr="00CE6165">
        <w:rPr>
          <w:rFonts w:asciiTheme="majorBidi" w:hAnsiTheme="majorBidi" w:cstheme="majorBidi"/>
          <w:sz w:val="24"/>
          <w:szCs w:val="24"/>
        </w:rPr>
        <w:t xml:space="preserve">, J., &amp; </w:t>
      </w:r>
      <w:proofErr w:type="spellStart"/>
      <w:r w:rsidRPr="00CE6165">
        <w:rPr>
          <w:rFonts w:asciiTheme="majorBidi" w:hAnsiTheme="majorBidi" w:cstheme="majorBidi"/>
          <w:sz w:val="24"/>
          <w:szCs w:val="24"/>
        </w:rPr>
        <w:t>Marchand</w:t>
      </w:r>
      <w:proofErr w:type="spellEnd"/>
      <w:r w:rsidRPr="00CE6165">
        <w:rPr>
          <w:rFonts w:asciiTheme="majorBidi" w:hAnsiTheme="majorBidi" w:cstheme="majorBidi"/>
          <w:sz w:val="24"/>
          <w:szCs w:val="24"/>
        </w:rPr>
        <w:t>, A. (2004). The Economic Burden of Anxiety Disorders in Canada. Canadian Psychology</w:t>
      </w:r>
      <w:r w:rsidRPr="00CE6165">
        <w:rPr>
          <w:rFonts w:asciiTheme="majorBidi" w:hAnsiTheme="majorBidi" w:cstheme="majorBidi"/>
          <w:i/>
          <w:iCs/>
          <w:sz w:val="24"/>
          <w:szCs w:val="24"/>
        </w:rPr>
        <w:t>/</w:t>
      </w:r>
      <w:proofErr w:type="spellStart"/>
      <w:r w:rsidRPr="00CE6165">
        <w:rPr>
          <w:rFonts w:asciiTheme="majorBidi" w:hAnsiTheme="majorBidi" w:cstheme="majorBidi"/>
          <w:i/>
          <w:iCs/>
          <w:sz w:val="24"/>
          <w:szCs w:val="24"/>
        </w:rPr>
        <w:t>Psychologie</w:t>
      </w:r>
      <w:proofErr w:type="spellEnd"/>
      <w:r w:rsidRPr="00CE6165">
        <w:rPr>
          <w:rFonts w:asciiTheme="majorBidi" w:hAnsiTheme="majorBidi" w:cstheme="majorBidi"/>
          <w:i/>
          <w:iCs/>
          <w:sz w:val="24"/>
          <w:szCs w:val="24"/>
        </w:rPr>
        <w:t xml:space="preserve"> </w:t>
      </w:r>
      <w:proofErr w:type="spellStart"/>
      <w:r w:rsidRPr="00CE6165">
        <w:rPr>
          <w:rFonts w:asciiTheme="majorBidi" w:hAnsiTheme="majorBidi" w:cstheme="majorBidi"/>
          <w:i/>
          <w:iCs/>
          <w:sz w:val="24"/>
          <w:szCs w:val="24"/>
        </w:rPr>
        <w:t>canadienne</w:t>
      </w:r>
      <w:proofErr w:type="spellEnd"/>
      <w:r w:rsidRPr="00CE6165">
        <w:rPr>
          <w:rFonts w:asciiTheme="majorBidi" w:hAnsiTheme="majorBidi" w:cstheme="majorBidi"/>
          <w:sz w:val="24"/>
          <w:szCs w:val="24"/>
        </w:rPr>
        <w:t>, 45(3), 191.</w:t>
      </w:r>
    </w:p>
    <w:p w:rsidR="00B515BB" w:rsidRPr="00CE6165" w:rsidRDefault="00B515BB" w:rsidP="00A076D8">
      <w:pPr>
        <w:spacing w:line="240" w:lineRule="auto"/>
        <w:ind w:left="426" w:hanging="426"/>
        <w:jc w:val="both"/>
        <w:rPr>
          <w:rFonts w:asciiTheme="majorBidi" w:hAnsiTheme="majorBidi" w:cstheme="majorBidi"/>
          <w:sz w:val="24"/>
          <w:szCs w:val="24"/>
        </w:rPr>
      </w:pPr>
      <w:proofErr w:type="spellStart"/>
      <w:r w:rsidRPr="00CE6165">
        <w:rPr>
          <w:rFonts w:asciiTheme="majorBidi" w:hAnsiTheme="majorBidi" w:cstheme="majorBidi"/>
          <w:sz w:val="24"/>
          <w:szCs w:val="24"/>
        </w:rPr>
        <w:t>Llera</w:t>
      </w:r>
      <w:proofErr w:type="spellEnd"/>
      <w:r w:rsidRPr="00CE6165">
        <w:rPr>
          <w:rFonts w:asciiTheme="majorBidi" w:hAnsiTheme="majorBidi" w:cstheme="majorBidi"/>
          <w:sz w:val="24"/>
          <w:szCs w:val="24"/>
        </w:rPr>
        <w:t>, S. J., &amp; Newman, M. G. (2014). Rethinking the role of worry in generalized anxiety disorder: Evidence supporting a model of emotional contrast avoidance. Behavior Therapy, 45(3), 283-299.</w:t>
      </w:r>
    </w:p>
    <w:p w:rsidR="00B515BB" w:rsidRPr="00CE6165" w:rsidRDefault="00B515BB" w:rsidP="00A076D8">
      <w:pPr>
        <w:spacing w:line="240" w:lineRule="auto"/>
        <w:ind w:left="426" w:hanging="426"/>
        <w:jc w:val="both"/>
        <w:rPr>
          <w:rFonts w:asciiTheme="majorBidi" w:eastAsia="Times New Roman" w:hAnsiTheme="majorBidi" w:cstheme="majorBidi"/>
          <w:sz w:val="24"/>
          <w:szCs w:val="24"/>
          <w:rtl/>
        </w:rPr>
      </w:pPr>
      <w:r w:rsidRPr="00CE6165">
        <w:rPr>
          <w:rFonts w:asciiTheme="majorBidi" w:eastAsia="Times New Roman" w:hAnsiTheme="majorBidi" w:cstheme="majorBidi"/>
          <w:sz w:val="24"/>
          <w:szCs w:val="24"/>
        </w:rPr>
        <w:t xml:space="preserve">Meyer, T. J., Miller, M. L., Metzger, R. L., &amp; Borkovec, T. D. (1990). Development and validation of the </w:t>
      </w:r>
      <w:proofErr w:type="spellStart"/>
      <w:r w:rsidRPr="00CE6165">
        <w:rPr>
          <w:rFonts w:asciiTheme="majorBidi" w:eastAsia="Times New Roman" w:hAnsiTheme="majorBidi" w:cstheme="majorBidi"/>
          <w:sz w:val="24"/>
          <w:szCs w:val="24"/>
        </w:rPr>
        <w:t>penn</w:t>
      </w:r>
      <w:proofErr w:type="spellEnd"/>
      <w:r w:rsidRPr="00CE6165">
        <w:rPr>
          <w:rFonts w:asciiTheme="majorBidi" w:eastAsia="Times New Roman" w:hAnsiTheme="majorBidi" w:cstheme="majorBidi"/>
          <w:sz w:val="24"/>
          <w:szCs w:val="24"/>
        </w:rPr>
        <w:t xml:space="preserve"> state worry questionnaire. </w:t>
      </w:r>
      <w:proofErr w:type="spellStart"/>
      <w:r w:rsidRPr="00CE6165">
        <w:rPr>
          <w:rFonts w:asciiTheme="majorBidi" w:eastAsia="Times New Roman" w:hAnsiTheme="majorBidi" w:cstheme="majorBidi"/>
          <w:sz w:val="24"/>
          <w:szCs w:val="24"/>
        </w:rPr>
        <w:t>Behaviour</w:t>
      </w:r>
      <w:proofErr w:type="spellEnd"/>
      <w:r w:rsidRPr="00CE6165">
        <w:rPr>
          <w:rFonts w:asciiTheme="majorBidi" w:eastAsia="Times New Roman" w:hAnsiTheme="majorBidi" w:cstheme="majorBidi"/>
          <w:sz w:val="24"/>
          <w:szCs w:val="24"/>
        </w:rPr>
        <w:t xml:space="preserve"> research and therapy, 28(6), 487-495.</w:t>
      </w:r>
    </w:p>
    <w:p w:rsidR="00B515BB" w:rsidRPr="00CE6165" w:rsidRDefault="00B515BB" w:rsidP="00A076D8">
      <w:pPr>
        <w:spacing w:after="0"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Montgomery, S. A., Lyndon, G., Almas, M., Whalen, E., &amp; Prieto, R. (2017). Early improvement with </w:t>
      </w:r>
      <w:proofErr w:type="spellStart"/>
      <w:r w:rsidRPr="00CE6165">
        <w:rPr>
          <w:rFonts w:asciiTheme="majorBidi" w:hAnsiTheme="majorBidi" w:cstheme="majorBidi"/>
          <w:sz w:val="24"/>
          <w:szCs w:val="24"/>
        </w:rPr>
        <w:t>pregabalin</w:t>
      </w:r>
      <w:proofErr w:type="spellEnd"/>
      <w:r w:rsidRPr="00CE6165">
        <w:rPr>
          <w:rFonts w:asciiTheme="majorBidi" w:hAnsiTheme="majorBidi" w:cstheme="majorBidi"/>
          <w:sz w:val="24"/>
          <w:szCs w:val="24"/>
        </w:rPr>
        <w:t xml:space="preserve"> predicts endpoint response in patients with generalized anxiety disorder: an integrated and predictive data analysis. International clinical psychopharmacology, 32(1), 41-48.</w:t>
      </w:r>
    </w:p>
    <w:p w:rsidR="00B515BB" w:rsidRPr="00CE6165" w:rsidRDefault="00B515BB" w:rsidP="00A076D8">
      <w:pPr>
        <w:spacing w:after="0" w:line="240" w:lineRule="auto"/>
        <w:ind w:left="426" w:hanging="426"/>
        <w:jc w:val="both"/>
        <w:rPr>
          <w:rFonts w:asciiTheme="majorBidi" w:hAnsiTheme="majorBidi" w:cstheme="majorBidi"/>
          <w:sz w:val="24"/>
          <w:szCs w:val="24"/>
        </w:rPr>
      </w:pPr>
    </w:p>
    <w:p w:rsidR="00323BFB" w:rsidRPr="00CE6165" w:rsidRDefault="00B515BB" w:rsidP="00A076D8">
      <w:pPr>
        <w:spacing w:after="0"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Molina, S., &amp; Borkovec, T. D. (1994). The Penn State Worry Questionnaire: Psychometric properties and associated characteristics.</w:t>
      </w:r>
    </w:p>
    <w:p w:rsidR="00323BFB" w:rsidRPr="00CE6165" w:rsidRDefault="00323BFB" w:rsidP="00A076D8">
      <w:pPr>
        <w:spacing w:after="0" w:line="240" w:lineRule="auto"/>
        <w:ind w:left="426" w:hanging="426"/>
        <w:jc w:val="both"/>
        <w:rPr>
          <w:rFonts w:asciiTheme="majorBidi" w:hAnsiTheme="majorBidi" w:cstheme="majorBidi"/>
          <w:sz w:val="24"/>
          <w:szCs w:val="24"/>
        </w:rPr>
      </w:pPr>
    </w:p>
    <w:p w:rsidR="00B515BB" w:rsidRPr="00CE6165" w:rsidRDefault="00305A2E" w:rsidP="00A076D8">
      <w:pPr>
        <w:spacing w:line="240" w:lineRule="auto"/>
        <w:ind w:left="426" w:hanging="426"/>
        <w:jc w:val="both"/>
        <w:rPr>
          <w:rFonts w:asciiTheme="majorBidi" w:hAnsiTheme="majorBidi" w:cstheme="majorBidi"/>
          <w:sz w:val="24"/>
          <w:szCs w:val="24"/>
          <w:rtl/>
        </w:rPr>
      </w:pPr>
      <w:proofErr w:type="spellStart"/>
      <w:r w:rsidRPr="00CE6165">
        <w:rPr>
          <w:rFonts w:asciiTheme="majorBidi" w:hAnsiTheme="majorBidi" w:cstheme="majorBidi"/>
          <w:sz w:val="24"/>
          <w:szCs w:val="24"/>
        </w:rPr>
        <w:t>Ost</w:t>
      </w:r>
      <w:proofErr w:type="spellEnd"/>
      <w:r w:rsidRPr="00CE6165">
        <w:rPr>
          <w:rFonts w:asciiTheme="majorBidi" w:hAnsiTheme="majorBidi" w:cstheme="majorBidi"/>
          <w:sz w:val="24"/>
          <w:szCs w:val="24"/>
        </w:rPr>
        <w:t xml:space="preserve">, L. G., &amp; </w:t>
      </w:r>
      <w:proofErr w:type="spellStart"/>
      <w:r w:rsidRPr="00CE6165">
        <w:rPr>
          <w:rFonts w:asciiTheme="majorBidi" w:hAnsiTheme="majorBidi" w:cstheme="majorBidi"/>
          <w:sz w:val="24"/>
          <w:szCs w:val="24"/>
        </w:rPr>
        <w:t>Breitholtz</w:t>
      </w:r>
      <w:proofErr w:type="spellEnd"/>
      <w:r w:rsidRPr="00CE6165">
        <w:rPr>
          <w:rFonts w:asciiTheme="majorBidi" w:hAnsiTheme="majorBidi" w:cstheme="majorBidi"/>
          <w:sz w:val="24"/>
          <w:szCs w:val="24"/>
        </w:rPr>
        <w:t xml:space="preserve">, E. (2000).Applied relaxation vs. cognitive therapy in the treatment of generalized anxiety </w:t>
      </w:r>
      <w:proofErr w:type="spellStart"/>
      <w:r w:rsidRPr="00CE6165">
        <w:rPr>
          <w:rFonts w:asciiTheme="majorBidi" w:hAnsiTheme="majorBidi" w:cstheme="majorBidi"/>
          <w:sz w:val="24"/>
          <w:szCs w:val="24"/>
        </w:rPr>
        <w:t>disorder.</w:t>
      </w:r>
      <w:r w:rsidRPr="00CE6165">
        <w:rPr>
          <w:rFonts w:asciiTheme="majorBidi" w:hAnsiTheme="majorBidi" w:cstheme="majorBidi"/>
          <w:i/>
          <w:iCs/>
          <w:sz w:val="24"/>
          <w:szCs w:val="24"/>
        </w:rPr>
        <w:t>Behaviour</w:t>
      </w:r>
      <w:proofErr w:type="spellEnd"/>
      <w:r w:rsidRPr="00CE6165">
        <w:rPr>
          <w:rFonts w:asciiTheme="majorBidi" w:hAnsiTheme="majorBidi" w:cstheme="majorBidi"/>
          <w:i/>
          <w:iCs/>
          <w:sz w:val="24"/>
          <w:szCs w:val="24"/>
        </w:rPr>
        <w:t xml:space="preserve"> Research and Therapy</w:t>
      </w:r>
      <w:r w:rsidRPr="00CE6165">
        <w:rPr>
          <w:rFonts w:asciiTheme="majorBidi" w:hAnsiTheme="majorBidi" w:cstheme="majorBidi"/>
          <w:sz w:val="24"/>
          <w:szCs w:val="24"/>
        </w:rPr>
        <w:t>, 38,777–790.</w:t>
      </w:r>
    </w:p>
    <w:p w:rsidR="00B515BB" w:rsidRPr="00CE6165" w:rsidRDefault="00B515BB" w:rsidP="00A076D8">
      <w:pPr>
        <w:spacing w:after="0" w:line="240" w:lineRule="auto"/>
        <w:ind w:left="426" w:hanging="426"/>
        <w:jc w:val="both"/>
        <w:rPr>
          <w:rFonts w:asciiTheme="majorBidi" w:hAnsiTheme="majorBidi" w:cstheme="majorBidi"/>
          <w:sz w:val="24"/>
          <w:szCs w:val="24"/>
          <w:rtl/>
        </w:rPr>
      </w:pPr>
      <w:proofErr w:type="spellStart"/>
      <w:r w:rsidRPr="00CE6165">
        <w:rPr>
          <w:rFonts w:asciiTheme="majorBidi" w:hAnsiTheme="majorBidi" w:cstheme="majorBidi"/>
          <w:sz w:val="24"/>
          <w:szCs w:val="24"/>
        </w:rPr>
        <w:t>Pae</w:t>
      </w:r>
      <w:proofErr w:type="spellEnd"/>
      <w:r w:rsidRPr="00CE6165">
        <w:rPr>
          <w:rFonts w:asciiTheme="majorBidi" w:hAnsiTheme="majorBidi" w:cstheme="majorBidi"/>
          <w:sz w:val="24"/>
          <w:szCs w:val="24"/>
        </w:rPr>
        <w:t xml:space="preserve">, C. U., Wang, S. M., Han, C., Lee, S. J., </w:t>
      </w:r>
      <w:proofErr w:type="spellStart"/>
      <w:r w:rsidRPr="00CE6165">
        <w:rPr>
          <w:rFonts w:asciiTheme="majorBidi" w:hAnsiTheme="majorBidi" w:cstheme="majorBidi"/>
          <w:sz w:val="24"/>
          <w:szCs w:val="24"/>
        </w:rPr>
        <w:t>Patkar</w:t>
      </w:r>
      <w:proofErr w:type="spellEnd"/>
      <w:r w:rsidRPr="00CE6165">
        <w:rPr>
          <w:rFonts w:asciiTheme="majorBidi" w:hAnsiTheme="majorBidi" w:cstheme="majorBidi"/>
          <w:sz w:val="24"/>
          <w:szCs w:val="24"/>
        </w:rPr>
        <w:t xml:space="preserve">, A. A., </w:t>
      </w:r>
      <w:proofErr w:type="spellStart"/>
      <w:r w:rsidRPr="00CE6165">
        <w:rPr>
          <w:rFonts w:asciiTheme="majorBidi" w:hAnsiTheme="majorBidi" w:cstheme="majorBidi"/>
          <w:sz w:val="24"/>
          <w:szCs w:val="24"/>
        </w:rPr>
        <w:t>Masand</w:t>
      </w:r>
      <w:proofErr w:type="spellEnd"/>
      <w:r w:rsidRPr="00CE6165">
        <w:rPr>
          <w:rFonts w:asciiTheme="majorBidi" w:hAnsiTheme="majorBidi" w:cstheme="majorBidi"/>
          <w:sz w:val="24"/>
          <w:szCs w:val="24"/>
        </w:rPr>
        <w:t xml:space="preserve">, P. S., &amp; </w:t>
      </w:r>
      <w:proofErr w:type="spellStart"/>
      <w:r w:rsidRPr="00CE6165">
        <w:rPr>
          <w:rFonts w:asciiTheme="majorBidi" w:hAnsiTheme="majorBidi" w:cstheme="majorBidi"/>
          <w:sz w:val="24"/>
          <w:szCs w:val="24"/>
        </w:rPr>
        <w:t>Serretti</w:t>
      </w:r>
      <w:proofErr w:type="spellEnd"/>
      <w:r w:rsidRPr="00CE6165">
        <w:rPr>
          <w:rFonts w:asciiTheme="majorBidi" w:hAnsiTheme="majorBidi" w:cstheme="majorBidi"/>
          <w:sz w:val="24"/>
          <w:szCs w:val="24"/>
        </w:rPr>
        <w:t>, A. (2015). Vortioxetine, a multimodal antidepressant for generalized anxiety disorder: a systematic review and meta-analysis. Journal of psychiatric research, 64, 88-98.</w:t>
      </w:r>
    </w:p>
    <w:p w:rsidR="00B515BB" w:rsidRPr="00CE6165" w:rsidRDefault="00B515BB" w:rsidP="00A076D8">
      <w:pPr>
        <w:spacing w:after="0" w:line="240" w:lineRule="auto"/>
        <w:ind w:left="426" w:hanging="426"/>
        <w:jc w:val="both"/>
        <w:rPr>
          <w:rFonts w:asciiTheme="majorBidi" w:hAnsiTheme="majorBidi" w:cstheme="majorBidi"/>
          <w:sz w:val="24"/>
          <w:szCs w:val="24"/>
        </w:rPr>
      </w:pPr>
    </w:p>
    <w:p w:rsidR="00B515BB" w:rsidRPr="00CE6165" w:rsidRDefault="00B515BB" w:rsidP="00A076D8">
      <w:pPr>
        <w:spacing w:after="0" w:line="240" w:lineRule="auto"/>
        <w:ind w:left="426" w:hanging="426"/>
        <w:jc w:val="both"/>
        <w:rPr>
          <w:rFonts w:asciiTheme="majorBidi" w:hAnsiTheme="majorBidi" w:cstheme="majorBidi"/>
          <w:sz w:val="24"/>
          <w:szCs w:val="24"/>
          <w:rtl/>
        </w:rPr>
      </w:pPr>
      <w:proofErr w:type="spellStart"/>
      <w:r w:rsidRPr="00CE6165">
        <w:rPr>
          <w:rFonts w:asciiTheme="majorBidi" w:hAnsiTheme="majorBidi" w:cstheme="majorBidi"/>
          <w:sz w:val="24"/>
          <w:szCs w:val="24"/>
        </w:rPr>
        <w:t>Perna</w:t>
      </w:r>
      <w:proofErr w:type="spellEnd"/>
      <w:r w:rsidRPr="00CE6165">
        <w:rPr>
          <w:rFonts w:asciiTheme="majorBidi" w:hAnsiTheme="majorBidi" w:cstheme="majorBidi"/>
          <w:sz w:val="24"/>
          <w:szCs w:val="24"/>
        </w:rPr>
        <w:t xml:space="preserve">, G., </w:t>
      </w:r>
      <w:proofErr w:type="spellStart"/>
      <w:r w:rsidRPr="00CE6165">
        <w:rPr>
          <w:rFonts w:asciiTheme="majorBidi" w:hAnsiTheme="majorBidi" w:cstheme="majorBidi"/>
          <w:sz w:val="24"/>
          <w:szCs w:val="24"/>
        </w:rPr>
        <w:t>Alciati</w:t>
      </w:r>
      <w:proofErr w:type="spellEnd"/>
      <w:r w:rsidRPr="00CE6165">
        <w:rPr>
          <w:rFonts w:asciiTheme="majorBidi" w:hAnsiTheme="majorBidi" w:cstheme="majorBidi"/>
          <w:sz w:val="24"/>
          <w:szCs w:val="24"/>
        </w:rPr>
        <w:t xml:space="preserve">, A., Riva, A., </w:t>
      </w:r>
      <w:proofErr w:type="spellStart"/>
      <w:r w:rsidRPr="00CE6165">
        <w:rPr>
          <w:rFonts w:asciiTheme="majorBidi" w:hAnsiTheme="majorBidi" w:cstheme="majorBidi"/>
          <w:sz w:val="24"/>
          <w:szCs w:val="24"/>
        </w:rPr>
        <w:t>Micieli</w:t>
      </w:r>
      <w:proofErr w:type="spellEnd"/>
      <w:r w:rsidRPr="00CE6165">
        <w:rPr>
          <w:rFonts w:asciiTheme="majorBidi" w:hAnsiTheme="majorBidi" w:cstheme="majorBidi"/>
          <w:sz w:val="24"/>
          <w:szCs w:val="24"/>
        </w:rPr>
        <w:t xml:space="preserve">, W., &amp; </w:t>
      </w:r>
      <w:proofErr w:type="spellStart"/>
      <w:r w:rsidRPr="00CE6165">
        <w:rPr>
          <w:rFonts w:asciiTheme="majorBidi" w:hAnsiTheme="majorBidi" w:cstheme="majorBidi"/>
          <w:sz w:val="24"/>
          <w:szCs w:val="24"/>
        </w:rPr>
        <w:t>Caldirola</w:t>
      </w:r>
      <w:proofErr w:type="spellEnd"/>
      <w:r w:rsidRPr="00CE6165">
        <w:rPr>
          <w:rFonts w:asciiTheme="majorBidi" w:hAnsiTheme="majorBidi" w:cstheme="majorBidi"/>
          <w:sz w:val="24"/>
          <w:szCs w:val="24"/>
        </w:rPr>
        <w:t>, D. (2016). Long-term pharmacological treatments of anxiety disorders: an updated systematic review. Current psychiatry reports, 18(3), 1-16.</w:t>
      </w:r>
    </w:p>
    <w:p w:rsidR="00B515BB" w:rsidRPr="00CE6165" w:rsidRDefault="00B515BB" w:rsidP="00A076D8">
      <w:pPr>
        <w:spacing w:after="0" w:line="240" w:lineRule="auto"/>
        <w:ind w:left="426" w:hanging="426"/>
        <w:jc w:val="both"/>
        <w:rPr>
          <w:rFonts w:asciiTheme="majorBidi" w:hAnsiTheme="majorBidi" w:cstheme="majorBidi"/>
          <w:sz w:val="24"/>
          <w:szCs w:val="24"/>
          <w:rtl/>
        </w:rPr>
      </w:pPr>
    </w:p>
    <w:p w:rsidR="00B515BB" w:rsidRPr="00CE6165" w:rsidRDefault="00B515BB" w:rsidP="00A076D8">
      <w:pPr>
        <w:spacing w:line="240" w:lineRule="auto"/>
        <w:ind w:left="426" w:hanging="426"/>
        <w:jc w:val="both"/>
        <w:rPr>
          <w:rFonts w:asciiTheme="majorBidi" w:hAnsiTheme="majorBidi" w:cstheme="majorBidi"/>
          <w:sz w:val="24"/>
          <w:szCs w:val="24"/>
        </w:rPr>
      </w:pPr>
      <w:proofErr w:type="spellStart"/>
      <w:r w:rsidRPr="00CE6165">
        <w:rPr>
          <w:rFonts w:asciiTheme="majorBidi" w:hAnsiTheme="majorBidi" w:cstheme="majorBidi"/>
          <w:sz w:val="24"/>
          <w:szCs w:val="24"/>
        </w:rPr>
        <w:t>Revicki</w:t>
      </w:r>
      <w:proofErr w:type="spellEnd"/>
      <w:r w:rsidRPr="00CE6165">
        <w:rPr>
          <w:rFonts w:asciiTheme="majorBidi" w:hAnsiTheme="majorBidi" w:cstheme="majorBidi"/>
          <w:sz w:val="24"/>
          <w:szCs w:val="24"/>
        </w:rPr>
        <w:t xml:space="preserve">, D. A., Travers, K., </w:t>
      </w:r>
      <w:proofErr w:type="spellStart"/>
      <w:r w:rsidRPr="00CE6165">
        <w:rPr>
          <w:rFonts w:asciiTheme="majorBidi" w:hAnsiTheme="majorBidi" w:cstheme="majorBidi"/>
          <w:sz w:val="24"/>
          <w:szCs w:val="24"/>
        </w:rPr>
        <w:t>Wyrwich</w:t>
      </w:r>
      <w:proofErr w:type="spellEnd"/>
      <w:r w:rsidRPr="00CE6165">
        <w:rPr>
          <w:rFonts w:asciiTheme="majorBidi" w:hAnsiTheme="majorBidi" w:cstheme="majorBidi"/>
          <w:sz w:val="24"/>
          <w:szCs w:val="24"/>
        </w:rPr>
        <w:t xml:space="preserve">, K. W., </w:t>
      </w:r>
      <w:proofErr w:type="spellStart"/>
      <w:r w:rsidRPr="00CE6165">
        <w:rPr>
          <w:rFonts w:asciiTheme="majorBidi" w:hAnsiTheme="majorBidi" w:cstheme="majorBidi"/>
          <w:sz w:val="24"/>
          <w:szCs w:val="24"/>
        </w:rPr>
        <w:t>Svedsäter</w:t>
      </w:r>
      <w:proofErr w:type="spellEnd"/>
      <w:r w:rsidRPr="00CE6165">
        <w:rPr>
          <w:rFonts w:asciiTheme="majorBidi" w:hAnsiTheme="majorBidi" w:cstheme="majorBidi"/>
          <w:sz w:val="24"/>
          <w:szCs w:val="24"/>
        </w:rPr>
        <w:t xml:space="preserve">, H., Locklear, J., </w:t>
      </w:r>
      <w:proofErr w:type="spellStart"/>
      <w:r w:rsidRPr="00CE6165">
        <w:rPr>
          <w:rFonts w:asciiTheme="majorBidi" w:hAnsiTheme="majorBidi" w:cstheme="majorBidi"/>
          <w:sz w:val="24"/>
          <w:szCs w:val="24"/>
        </w:rPr>
        <w:t>Mattera</w:t>
      </w:r>
      <w:proofErr w:type="spellEnd"/>
      <w:r w:rsidRPr="00CE6165">
        <w:rPr>
          <w:rFonts w:asciiTheme="majorBidi" w:hAnsiTheme="majorBidi" w:cstheme="majorBidi"/>
          <w:sz w:val="24"/>
          <w:szCs w:val="24"/>
        </w:rPr>
        <w:t>, M. S., ... &amp; Montgomery, S. (2012). Humanistic and economic burden of generalized anxiety disorder in North America and Europe. Journal of affective disorders, 140(2), 103-112.</w:t>
      </w:r>
    </w:p>
    <w:p w:rsidR="00B515BB" w:rsidRPr="00CE6165" w:rsidRDefault="00B515BB" w:rsidP="00A076D8">
      <w:pPr>
        <w:spacing w:after="0"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lastRenderedPageBreak/>
        <w:t>Robichaud</w:t>
      </w:r>
      <w:r w:rsidRPr="00CE6165">
        <w:rPr>
          <w:rFonts w:asciiTheme="majorBidi" w:hAnsiTheme="majorBidi" w:cstheme="majorBidi"/>
          <w:sz w:val="24"/>
          <w:szCs w:val="24"/>
          <w:rtl/>
        </w:rPr>
        <w:t>,</w:t>
      </w:r>
      <w:r w:rsidRPr="00CE6165">
        <w:rPr>
          <w:rFonts w:asciiTheme="majorBidi" w:hAnsiTheme="majorBidi" w:cstheme="majorBidi"/>
          <w:sz w:val="24"/>
          <w:szCs w:val="24"/>
        </w:rPr>
        <w:t xml:space="preserve"> M. (2013). Cognitive Behavior Therapy Targeting Intolerance of Uncertainty: Application to a Clinical Case of Generalized Anxiety Disorder. Cognitive and Behavioral Practice</w:t>
      </w:r>
      <w:r w:rsidRPr="00CE6165">
        <w:rPr>
          <w:rFonts w:asciiTheme="majorBidi" w:hAnsiTheme="majorBidi" w:cstheme="majorBidi"/>
          <w:sz w:val="24"/>
          <w:szCs w:val="24"/>
          <w:rtl/>
        </w:rPr>
        <w:t>,</w:t>
      </w:r>
      <w:r w:rsidRPr="00CE6165">
        <w:rPr>
          <w:rFonts w:asciiTheme="majorBidi" w:hAnsiTheme="majorBidi" w:cstheme="majorBidi"/>
          <w:sz w:val="24"/>
          <w:szCs w:val="24"/>
        </w:rPr>
        <w:t xml:space="preserve"> 20</w:t>
      </w:r>
      <w:r w:rsidRPr="00CE6165">
        <w:rPr>
          <w:rFonts w:asciiTheme="majorBidi" w:hAnsiTheme="majorBidi" w:cstheme="majorBidi"/>
          <w:sz w:val="24"/>
          <w:szCs w:val="24"/>
          <w:rtl/>
        </w:rPr>
        <w:t>,</w:t>
      </w:r>
      <w:r w:rsidRPr="00CE6165">
        <w:rPr>
          <w:rFonts w:asciiTheme="majorBidi" w:hAnsiTheme="majorBidi" w:cstheme="majorBidi"/>
          <w:sz w:val="24"/>
          <w:szCs w:val="24"/>
        </w:rPr>
        <w:t xml:space="preserve"> 251-263.</w:t>
      </w:r>
    </w:p>
    <w:p w:rsidR="006C6B01" w:rsidRPr="00CE6165" w:rsidRDefault="006C6B01" w:rsidP="00A076D8">
      <w:pPr>
        <w:spacing w:after="0" w:line="240" w:lineRule="auto"/>
        <w:ind w:left="426" w:hanging="426"/>
        <w:jc w:val="both"/>
        <w:rPr>
          <w:rFonts w:asciiTheme="majorBidi" w:eastAsia="Times New Roman" w:hAnsiTheme="majorBidi" w:cstheme="majorBidi"/>
          <w:sz w:val="24"/>
          <w:szCs w:val="24"/>
        </w:rPr>
      </w:pPr>
    </w:p>
    <w:p w:rsidR="00B515BB" w:rsidRPr="00CE6165" w:rsidRDefault="00B515BB" w:rsidP="00A076D8">
      <w:pPr>
        <w:spacing w:after="0" w:line="240" w:lineRule="auto"/>
        <w:ind w:left="426" w:hanging="426"/>
        <w:jc w:val="both"/>
        <w:rPr>
          <w:rFonts w:asciiTheme="majorBidi" w:eastAsia="Times New Roman" w:hAnsiTheme="majorBidi" w:cstheme="majorBidi"/>
          <w:sz w:val="24"/>
          <w:szCs w:val="24"/>
          <w:rtl/>
        </w:rPr>
      </w:pPr>
      <w:r w:rsidRPr="00CE6165">
        <w:rPr>
          <w:rFonts w:asciiTheme="majorBidi" w:eastAsia="Times New Roman" w:hAnsiTheme="majorBidi" w:cstheme="majorBidi"/>
          <w:sz w:val="24"/>
          <w:szCs w:val="24"/>
        </w:rPr>
        <w:t>Robichaud, M., &amp; Dugas, M. J. (2005). Negative problem orientation (Part I): psychometric properties of a new measure. </w:t>
      </w:r>
      <w:proofErr w:type="spellStart"/>
      <w:r w:rsidRPr="00CE6165">
        <w:rPr>
          <w:rFonts w:asciiTheme="majorBidi" w:eastAsia="Times New Roman" w:hAnsiTheme="majorBidi" w:cstheme="majorBidi"/>
          <w:sz w:val="24"/>
          <w:szCs w:val="24"/>
        </w:rPr>
        <w:t>Behaviour</w:t>
      </w:r>
      <w:proofErr w:type="spellEnd"/>
      <w:r w:rsidRPr="00CE6165">
        <w:rPr>
          <w:rFonts w:asciiTheme="majorBidi" w:eastAsia="Times New Roman" w:hAnsiTheme="majorBidi" w:cstheme="majorBidi"/>
          <w:sz w:val="24"/>
          <w:szCs w:val="24"/>
        </w:rPr>
        <w:t xml:space="preserve"> research and therapy, 43(3), 391-401.</w:t>
      </w:r>
    </w:p>
    <w:p w:rsidR="00B515BB" w:rsidRPr="00CE6165" w:rsidRDefault="00B515BB" w:rsidP="00A076D8">
      <w:pPr>
        <w:spacing w:after="0" w:line="240" w:lineRule="auto"/>
        <w:ind w:left="426" w:hanging="426"/>
        <w:jc w:val="both"/>
        <w:rPr>
          <w:rFonts w:asciiTheme="majorBidi" w:hAnsiTheme="majorBidi" w:cstheme="majorBidi"/>
          <w:sz w:val="24"/>
          <w:szCs w:val="24"/>
        </w:rPr>
      </w:pPr>
    </w:p>
    <w:p w:rsidR="00B515BB" w:rsidRPr="00CE6165" w:rsidRDefault="00B515BB" w:rsidP="00A076D8">
      <w:pPr>
        <w:spacing w:after="0" w:line="240" w:lineRule="auto"/>
        <w:ind w:left="426" w:hanging="426"/>
        <w:jc w:val="both"/>
        <w:rPr>
          <w:rFonts w:asciiTheme="majorBidi" w:hAnsiTheme="majorBidi" w:cstheme="majorBidi"/>
          <w:sz w:val="24"/>
          <w:szCs w:val="24"/>
        </w:rPr>
      </w:pPr>
      <w:proofErr w:type="spellStart"/>
      <w:r w:rsidRPr="00CE6165">
        <w:rPr>
          <w:rFonts w:asciiTheme="majorBidi" w:hAnsiTheme="majorBidi" w:cstheme="majorBidi"/>
          <w:sz w:val="24"/>
          <w:szCs w:val="24"/>
        </w:rPr>
        <w:t>Thibodeau</w:t>
      </w:r>
      <w:proofErr w:type="spellEnd"/>
      <w:r w:rsidRPr="00CE6165">
        <w:rPr>
          <w:rFonts w:asciiTheme="majorBidi" w:hAnsiTheme="majorBidi" w:cstheme="majorBidi"/>
          <w:sz w:val="24"/>
          <w:szCs w:val="24"/>
        </w:rPr>
        <w:t xml:space="preserve">, M. A., Carleton, R. N., </w:t>
      </w:r>
      <w:proofErr w:type="spellStart"/>
      <w:r w:rsidRPr="00CE6165">
        <w:rPr>
          <w:rFonts w:asciiTheme="majorBidi" w:hAnsiTheme="majorBidi" w:cstheme="majorBidi"/>
          <w:sz w:val="24"/>
          <w:szCs w:val="24"/>
        </w:rPr>
        <w:t>McEvoy</w:t>
      </w:r>
      <w:proofErr w:type="spellEnd"/>
      <w:r w:rsidRPr="00CE6165">
        <w:rPr>
          <w:rFonts w:asciiTheme="majorBidi" w:hAnsiTheme="majorBidi" w:cstheme="majorBidi"/>
          <w:sz w:val="24"/>
          <w:szCs w:val="24"/>
        </w:rPr>
        <w:t xml:space="preserve">, P. M., </w:t>
      </w:r>
      <w:proofErr w:type="spellStart"/>
      <w:r w:rsidRPr="00CE6165">
        <w:rPr>
          <w:rFonts w:asciiTheme="majorBidi" w:hAnsiTheme="majorBidi" w:cstheme="majorBidi"/>
          <w:sz w:val="24"/>
          <w:szCs w:val="24"/>
        </w:rPr>
        <w:t>Zvolensky</w:t>
      </w:r>
      <w:proofErr w:type="spellEnd"/>
      <w:r w:rsidRPr="00CE6165">
        <w:rPr>
          <w:rFonts w:asciiTheme="majorBidi" w:hAnsiTheme="majorBidi" w:cstheme="majorBidi"/>
          <w:sz w:val="24"/>
          <w:szCs w:val="24"/>
        </w:rPr>
        <w:t xml:space="preserve">, M. J., Brandt, C. P., </w:t>
      </w:r>
      <w:proofErr w:type="spellStart"/>
      <w:r w:rsidRPr="00CE6165">
        <w:rPr>
          <w:rFonts w:asciiTheme="majorBidi" w:hAnsiTheme="majorBidi" w:cstheme="majorBidi"/>
          <w:sz w:val="24"/>
          <w:szCs w:val="24"/>
        </w:rPr>
        <w:t>Boelen</w:t>
      </w:r>
      <w:proofErr w:type="spellEnd"/>
      <w:r w:rsidRPr="00CE6165">
        <w:rPr>
          <w:rFonts w:asciiTheme="majorBidi" w:hAnsiTheme="majorBidi" w:cstheme="majorBidi"/>
          <w:sz w:val="24"/>
          <w:szCs w:val="24"/>
        </w:rPr>
        <w:t xml:space="preserve">, P. A., ... &amp; </w:t>
      </w:r>
      <w:proofErr w:type="spellStart"/>
      <w:r w:rsidRPr="00CE6165">
        <w:rPr>
          <w:rFonts w:asciiTheme="majorBidi" w:hAnsiTheme="majorBidi" w:cstheme="majorBidi"/>
          <w:sz w:val="24"/>
          <w:szCs w:val="24"/>
        </w:rPr>
        <w:t>Asmundson</w:t>
      </w:r>
      <w:proofErr w:type="spellEnd"/>
      <w:r w:rsidRPr="00CE6165">
        <w:rPr>
          <w:rFonts w:asciiTheme="majorBidi" w:hAnsiTheme="majorBidi" w:cstheme="majorBidi"/>
          <w:sz w:val="24"/>
          <w:szCs w:val="24"/>
        </w:rPr>
        <w:t xml:space="preserve">, G. J. (2015). Developing scales measuring disorder-specific intolerance of uncertainty (DSIU): A new perspective on </w:t>
      </w:r>
      <w:proofErr w:type="spellStart"/>
      <w:r w:rsidRPr="00CE6165">
        <w:rPr>
          <w:rFonts w:asciiTheme="majorBidi" w:hAnsiTheme="majorBidi" w:cstheme="majorBidi"/>
          <w:sz w:val="24"/>
          <w:szCs w:val="24"/>
        </w:rPr>
        <w:t>transdiagnostic</w:t>
      </w:r>
      <w:proofErr w:type="spellEnd"/>
      <w:r w:rsidRPr="00CE6165">
        <w:rPr>
          <w:rFonts w:asciiTheme="majorBidi" w:hAnsiTheme="majorBidi" w:cstheme="majorBidi"/>
          <w:sz w:val="24"/>
          <w:szCs w:val="24"/>
        </w:rPr>
        <w:t>. Journal of anxiety disorders, 31, 49-57.</w:t>
      </w:r>
    </w:p>
    <w:p w:rsidR="00B515BB" w:rsidRPr="00CE6165" w:rsidRDefault="00B515BB" w:rsidP="00A076D8">
      <w:pPr>
        <w:spacing w:after="0" w:line="240" w:lineRule="auto"/>
        <w:ind w:left="426" w:hanging="426"/>
        <w:jc w:val="both"/>
        <w:rPr>
          <w:rFonts w:asciiTheme="majorBidi" w:hAnsiTheme="majorBidi" w:cstheme="majorBidi"/>
          <w:sz w:val="24"/>
          <w:szCs w:val="24"/>
        </w:rPr>
      </w:pPr>
    </w:p>
    <w:p w:rsidR="00B515BB" w:rsidRPr="00CE6165" w:rsidRDefault="00B515BB" w:rsidP="00A076D8">
      <w:pPr>
        <w:spacing w:after="0"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Waters, A. M., &amp; </w:t>
      </w:r>
      <w:proofErr w:type="spellStart"/>
      <w:r w:rsidRPr="00CE6165">
        <w:rPr>
          <w:rFonts w:asciiTheme="majorBidi" w:hAnsiTheme="majorBidi" w:cstheme="majorBidi"/>
          <w:sz w:val="24"/>
          <w:szCs w:val="24"/>
        </w:rPr>
        <w:t>Craske</w:t>
      </w:r>
      <w:proofErr w:type="spellEnd"/>
      <w:r w:rsidRPr="00CE6165">
        <w:rPr>
          <w:rFonts w:asciiTheme="majorBidi" w:hAnsiTheme="majorBidi" w:cstheme="majorBidi"/>
          <w:sz w:val="24"/>
          <w:szCs w:val="24"/>
        </w:rPr>
        <w:t>, M. G. (2005). Generalized anxiety disorder. Improving outcomes and preventing relapse in cognitive behavioral therapy, 77-127.</w:t>
      </w:r>
    </w:p>
    <w:p w:rsidR="00B515BB" w:rsidRPr="00CE6165" w:rsidRDefault="00B515BB" w:rsidP="00A076D8">
      <w:pPr>
        <w:spacing w:after="0"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    </w:t>
      </w:r>
    </w:p>
    <w:p w:rsidR="00B515BB" w:rsidRPr="00CE6165" w:rsidRDefault="00B515BB" w:rsidP="00A076D8">
      <w:pPr>
        <w:spacing w:after="0"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Wells, A. (2005). The metacognitive model of GAD: Assessment of meta-worry and relationship with DSM-IV generalized anxiety disorder. Cognitive Therapy and Research, 29(1), 107-121.</w:t>
      </w:r>
    </w:p>
    <w:p w:rsidR="00B515BB" w:rsidRPr="00CE6165" w:rsidRDefault="00B515BB" w:rsidP="00A076D8">
      <w:pPr>
        <w:autoSpaceDE w:val="0"/>
        <w:autoSpaceDN w:val="0"/>
        <w:adjustRightInd w:val="0"/>
        <w:spacing w:after="0" w:line="240" w:lineRule="auto"/>
        <w:ind w:left="426" w:hanging="426"/>
        <w:jc w:val="both"/>
        <w:rPr>
          <w:rFonts w:asciiTheme="majorBidi" w:hAnsiTheme="majorBidi" w:cstheme="majorBidi"/>
          <w:sz w:val="24"/>
          <w:szCs w:val="24"/>
        </w:rPr>
      </w:pPr>
    </w:p>
    <w:p w:rsidR="00B515BB" w:rsidRPr="00CE6165" w:rsidRDefault="00B515BB" w:rsidP="00A076D8">
      <w:pPr>
        <w:spacing w:after="0" w:line="240" w:lineRule="auto"/>
        <w:ind w:left="426" w:hanging="426"/>
        <w:jc w:val="both"/>
        <w:rPr>
          <w:rFonts w:asciiTheme="majorBidi" w:hAnsiTheme="majorBidi" w:cstheme="majorBidi"/>
          <w:sz w:val="24"/>
          <w:szCs w:val="24"/>
        </w:rPr>
      </w:pPr>
      <w:r w:rsidRPr="00CE6165">
        <w:rPr>
          <w:rFonts w:asciiTheme="majorBidi" w:hAnsiTheme="majorBidi" w:cstheme="majorBidi"/>
          <w:sz w:val="24"/>
          <w:szCs w:val="24"/>
        </w:rPr>
        <w:t xml:space="preserve">Wells, A., Welford, M., King, P., </w:t>
      </w:r>
      <w:proofErr w:type="spellStart"/>
      <w:r w:rsidRPr="00CE6165">
        <w:rPr>
          <w:rFonts w:asciiTheme="majorBidi" w:hAnsiTheme="majorBidi" w:cstheme="majorBidi"/>
          <w:sz w:val="24"/>
          <w:szCs w:val="24"/>
        </w:rPr>
        <w:t>Papageorgiou</w:t>
      </w:r>
      <w:proofErr w:type="spellEnd"/>
      <w:r w:rsidRPr="00CE6165">
        <w:rPr>
          <w:rFonts w:asciiTheme="majorBidi" w:hAnsiTheme="majorBidi" w:cstheme="majorBidi"/>
          <w:sz w:val="24"/>
          <w:szCs w:val="24"/>
        </w:rPr>
        <w:t xml:space="preserve">, C., Wisely, J., &amp; Mendel, E. (2010). A pilot randomized trial of metacognitive therapy vs applied relaxation in the treatment of adults with generalized anxiety disorder. </w:t>
      </w:r>
      <w:proofErr w:type="spellStart"/>
      <w:r w:rsidRPr="00CE6165">
        <w:rPr>
          <w:rFonts w:asciiTheme="majorBidi" w:hAnsiTheme="majorBidi" w:cstheme="majorBidi"/>
          <w:sz w:val="24"/>
          <w:szCs w:val="24"/>
        </w:rPr>
        <w:t>Behaviour</w:t>
      </w:r>
      <w:proofErr w:type="spellEnd"/>
      <w:r w:rsidRPr="00CE6165">
        <w:rPr>
          <w:rFonts w:asciiTheme="majorBidi" w:hAnsiTheme="majorBidi" w:cstheme="majorBidi"/>
          <w:sz w:val="24"/>
          <w:szCs w:val="24"/>
        </w:rPr>
        <w:t xml:space="preserve"> Research and Therapy, 48(5), 429–434.</w:t>
      </w:r>
    </w:p>
    <w:p w:rsidR="00843E68" w:rsidRPr="00CE6165" w:rsidRDefault="00843E68" w:rsidP="00A076D8">
      <w:pPr>
        <w:spacing w:after="0" w:line="240" w:lineRule="auto"/>
        <w:ind w:left="426" w:hanging="426"/>
        <w:jc w:val="both"/>
        <w:rPr>
          <w:rFonts w:asciiTheme="majorBidi" w:hAnsiTheme="majorBidi" w:cstheme="majorBidi"/>
          <w:sz w:val="24"/>
          <w:szCs w:val="24"/>
        </w:rPr>
      </w:pPr>
    </w:p>
    <w:p w:rsidR="00CF1484" w:rsidRPr="00A076D8" w:rsidRDefault="00843E68" w:rsidP="00A076D8">
      <w:pPr>
        <w:spacing w:after="0" w:line="240" w:lineRule="auto"/>
        <w:ind w:left="426" w:hanging="426"/>
        <w:jc w:val="both"/>
        <w:rPr>
          <w:rFonts w:asciiTheme="majorBidi" w:hAnsiTheme="majorBidi" w:cstheme="majorBidi"/>
          <w:sz w:val="24"/>
          <w:szCs w:val="24"/>
        </w:rPr>
      </w:pPr>
      <w:proofErr w:type="spellStart"/>
      <w:r w:rsidRPr="00CE6165">
        <w:rPr>
          <w:rFonts w:asciiTheme="majorBidi" w:hAnsiTheme="majorBidi" w:cstheme="majorBidi"/>
          <w:sz w:val="24"/>
          <w:szCs w:val="24"/>
        </w:rPr>
        <w:t>Zemestani</w:t>
      </w:r>
      <w:proofErr w:type="spellEnd"/>
      <w:r w:rsidRPr="00CE6165">
        <w:rPr>
          <w:rFonts w:asciiTheme="majorBidi" w:hAnsiTheme="majorBidi" w:cstheme="majorBidi"/>
          <w:sz w:val="24"/>
          <w:szCs w:val="24"/>
        </w:rPr>
        <w:t xml:space="preserve">, M., Imani, M., &amp; Ottaviani, C. (2017). A Preliminary Investigation on the Effectiveness of Unified and </w:t>
      </w:r>
      <w:proofErr w:type="spellStart"/>
      <w:r w:rsidRPr="00CE6165">
        <w:rPr>
          <w:rFonts w:asciiTheme="majorBidi" w:hAnsiTheme="majorBidi" w:cstheme="majorBidi"/>
          <w:sz w:val="24"/>
          <w:szCs w:val="24"/>
        </w:rPr>
        <w:t>Transdiagnostic</w:t>
      </w:r>
      <w:proofErr w:type="spellEnd"/>
      <w:r w:rsidRPr="00CE6165">
        <w:rPr>
          <w:rFonts w:asciiTheme="majorBidi" w:hAnsiTheme="majorBidi" w:cstheme="majorBidi"/>
          <w:sz w:val="24"/>
          <w:szCs w:val="24"/>
        </w:rPr>
        <w:t xml:space="preserve"> Cognitive Behavior Therapy for Patients with Comorbid Depression and Anxiety. International Journal of Cognitive Therapy, 10, 175–185.</w:t>
      </w:r>
    </w:p>
    <w:sectPr w:rsidR="00CF1484" w:rsidRPr="00A076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152" w:rsidRDefault="00BB5152" w:rsidP="00BB5152">
      <w:pPr>
        <w:spacing w:after="0" w:line="240" w:lineRule="auto"/>
      </w:pPr>
      <w:r>
        <w:separator/>
      </w:r>
    </w:p>
  </w:endnote>
  <w:endnote w:type="continuationSeparator" w:id="0">
    <w:p w:rsidR="00BB5152" w:rsidRDefault="00BB5152" w:rsidP="00BB5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152" w:rsidRDefault="00BB5152" w:rsidP="00BB5152">
      <w:pPr>
        <w:spacing w:after="0" w:line="240" w:lineRule="auto"/>
      </w:pPr>
      <w:r>
        <w:separator/>
      </w:r>
    </w:p>
  </w:footnote>
  <w:footnote w:type="continuationSeparator" w:id="0">
    <w:p w:rsidR="00BB5152" w:rsidRDefault="00BB5152" w:rsidP="00BB5152">
      <w:pPr>
        <w:spacing w:after="0" w:line="240" w:lineRule="auto"/>
      </w:pPr>
      <w:r>
        <w:continuationSeparator/>
      </w:r>
    </w:p>
  </w:footnote>
  <w:footnote w:id="1">
    <w:p w:rsidR="00BB5152" w:rsidRDefault="00BB5152" w:rsidP="00BB5152">
      <w:pPr>
        <w:pStyle w:val="FootnoteText"/>
        <w:jc w:val="both"/>
      </w:pPr>
      <w:r w:rsidRPr="009B32F4">
        <w:footnoteRef/>
      </w:r>
      <w:r>
        <w:t xml:space="preserve">. *Corresponding Author, </w:t>
      </w:r>
      <w:r w:rsidRPr="004C57B9">
        <w:t xml:space="preserve">PhD in Psychology, Assistant Professor, Department of Psychology, Faculty of Humanities and Social Sciences, University of Kurdistan, </w:t>
      </w:r>
      <w:proofErr w:type="spellStart"/>
      <w:r w:rsidRPr="004C57B9">
        <w:t>Sanandaj</w:t>
      </w:r>
      <w:proofErr w:type="spellEnd"/>
      <w:r w:rsidRPr="004C57B9">
        <w:t>, Iran.</w:t>
      </w:r>
      <w:r w:rsidRPr="009B32F4">
        <w:t xml:space="preserve">    </w:t>
      </w:r>
      <w:r w:rsidRPr="005F13A6">
        <w:t>Email: m.zemestani@uok.ac.ir</w:t>
      </w:r>
    </w:p>
  </w:footnote>
  <w:footnote w:id="2">
    <w:p w:rsidR="00BB5152" w:rsidRDefault="00BB5152" w:rsidP="00BB5152">
      <w:pPr>
        <w:pStyle w:val="FootnoteText"/>
        <w:jc w:val="both"/>
      </w:pPr>
      <w:r w:rsidRPr="009B32F4">
        <w:footnoteRef/>
      </w:r>
      <w:r>
        <w:t xml:space="preserve">. </w:t>
      </w:r>
      <w:r w:rsidRPr="004C57B9">
        <w:t xml:space="preserve">Associate Professor, Department of Psychiatry, Kurdistan University of Medical Sciences, </w:t>
      </w:r>
      <w:proofErr w:type="spellStart"/>
      <w:r w:rsidRPr="004C57B9">
        <w:t>Sanandaj</w:t>
      </w:r>
      <w:proofErr w:type="spellEnd"/>
      <w:r w:rsidRPr="004C57B9">
        <w:t>, Iran.</w:t>
      </w:r>
    </w:p>
  </w:footnote>
  <w:footnote w:id="3">
    <w:p w:rsidR="00BB5152" w:rsidRDefault="00BB5152" w:rsidP="00BB5152">
      <w:pPr>
        <w:pStyle w:val="FootnoteText"/>
        <w:rPr>
          <w:lang w:bidi="fa-IR"/>
        </w:rPr>
      </w:pPr>
      <w:r w:rsidRPr="00E4122C">
        <w:footnoteRef/>
      </w:r>
      <w:r>
        <w:t xml:space="preserve"> . Neurosciences Research Center, Kurdistan University of Medical Sciences, </w:t>
      </w:r>
      <w:proofErr w:type="spellStart"/>
      <w:r>
        <w:t>Sanandaj</w:t>
      </w:r>
      <w:proofErr w:type="spellEnd"/>
      <w:r>
        <w:t>, Iran.</w:t>
      </w:r>
      <w:r w:rsidRPr="00E4122C">
        <w:rPr>
          <w:lang w:bidi="fa-IR"/>
        </w:rPr>
        <w:t xml:space="preserve"> </w:t>
      </w:r>
    </w:p>
    <w:p w:rsidR="00BB5152" w:rsidRPr="00E4122C" w:rsidRDefault="00BB5152" w:rsidP="00BB5152">
      <w:pPr>
        <w:pStyle w:val="FootnoteText"/>
      </w:pPr>
      <w:r>
        <w:t xml:space="preserve">     </w:t>
      </w:r>
      <w:r w:rsidRPr="00E4122C">
        <w:t>Email: farrezaei@gmail.com</w:t>
      </w:r>
    </w:p>
  </w:footnote>
  <w:footnote w:id="4">
    <w:p w:rsidR="00BB5152" w:rsidRDefault="00BB5152" w:rsidP="00BB5152">
      <w:pPr>
        <w:pStyle w:val="FootnoteText"/>
        <w:jc w:val="both"/>
      </w:pPr>
      <w:r w:rsidRPr="009B32F4">
        <w:footnoteRef/>
      </w:r>
      <w:r>
        <w:t>. M.Sc.</w:t>
      </w:r>
      <w:r w:rsidRPr="004C57B9">
        <w:t xml:space="preserve"> in Clinical Psychology, Department of Psychology, Faculty of </w:t>
      </w:r>
      <w:r>
        <w:t>Humanities</w:t>
      </w:r>
      <w:r w:rsidRPr="004C57B9">
        <w:t xml:space="preserve"> and Social Sciences, University of Kurdistan, </w:t>
      </w:r>
      <w:proofErr w:type="spellStart"/>
      <w:r w:rsidRPr="004C57B9">
        <w:t>Sanandaj</w:t>
      </w:r>
      <w:proofErr w:type="spellEnd"/>
      <w:r w:rsidRPr="004C57B9">
        <w:t>, Iran</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74A"/>
    <w:rsid w:val="00012664"/>
    <w:rsid w:val="00020151"/>
    <w:rsid w:val="00035217"/>
    <w:rsid w:val="00035223"/>
    <w:rsid w:val="00037A1E"/>
    <w:rsid w:val="000447DB"/>
    <w:rsid w:val="0005671F"/>
    <w:rsid w:val="00084C55"/>
    <w:rsid w:val="000929AE"/>
    <w:rsid w:val="00092ECF"/>
    <w:rsid w:val="000D04EC"/>
    <w:rsid w:val="000D6D60"/>
    <w:rsid w:val="000E378C"/>
    <w:rsid w:val="00120249"/>
    <w:rsid w:val="0013039D"/>
    <w:rsid w:val="0014119B"/>
    <w:rsid w:val="001423C5"/>
    <w:rsid w:val="0014605C"/>
    <w:rsid w:val="0016490F"/>
    <w:rsid w:val="00176868"/>
    <w:rsid w:val="00176ED1"/>
    <w:rsid w:val="001822D6"/>
    <w:rsid w:val="00185091"/>
    <w:rsid w:val="00192261"/>
    <w:rsid w:val="001A06E2"/>
    <w:rsid w:val="001D2FB1"/>
    <w:rsid w:val="00204BC2"/>
    <w:rsid w:val="00205D0F"/>
    <w:rsid w:val="00211559"/>
    <w:rsid w:val="00265B5F"/>
    <w:rsid w:val="002924A0"/>
    <w:rsid w:val="00293932"/>
    <w:rsid w:val="002A108C"/>
    <w:rsid w:val="002B50BF"/>
    <w:rsid w:val="002D0AC3"/>
    <w:rsid w:val="002E0047"/>
    <w:rsid w:val="002F7B96"/>
    <w:rsid w:val="00305A2E"/>
    <w:rsid w:val="00323BFB"/>
    <w:rsid w:val="0035144D"/>
    <w:rsid w:val="00357B44"/>
    <w:rsid w:val="00374D9C"/>
    <w:rsid w:val="003B253E"/>
    <w:rsid w:val="003C3CFA"/>
    <w:rsid w:val="003D4999"/>
    <w:rsid w:val="0040158C"/>
    <w:rsid w:val="004049F8"/>
    <w:rsid w:val="00462324"/>
    <w:rsid w:val="004737B4"/>
    <w:rsid w:val="00474A6B"/>
    <w:rsid w:val="004B5654"/>
    <w:rsid w:val="004C7A67"/>
    <w:rsid w:val="004F1458"/>
    <w:rsid w:val="004F2DE9"/>
    <w:rsid w:val="004F2F91"/>
    <w:rsid w:val="0050630C"/>
    <w:rsid w:val="005337FF"/>
    <w:rsid w:val="005A57A5"/>
    <w:rsid w:val="005E3FBD"/>
    <w:rsid w:val="005E6663"/>
    <w:rsid w:val="006328B1"/>
    <w:rsid w:val="006365D9"/>
    <w:rsid w:val="00642C4B"/>
    <w:rsid w:val="0065458E"/>
    <w:rsid w:val="00664272"/>
    <w:rsid w:val="006C6B01"/>
    <w:rsid w:val="006C73D8"/>
    <w:rsid w:val="0070363B"/>
    <w:rsid w:val="00710810"/>
    <w:rsid w:val="0071360C"/>
    <w:rsid w:val="00732E87"/>
    <w:rsid w:val="007340EC"/>
    <w:rsid w:val="007346FB"/>
    <w:rsid w:val="007366BC"/>
    <w:rsid w:val="00751EE4"/>
    <w:rsid w:val="00760BA2"/>
    <w:rsid w:val="007774D3"/>
    <w:rsid w:val="00795289"/>
    <w:rsid w:val="007D798F"/>
    <w:rsid w:val="007E387D"/>
    <w:rsid w:val="007F2180"/>
    <w:rsid w:val="007F4E89"/>
    <w:rsid w:val="008127C7"/>
    <w:rsid w:val="008259B2"/>
    <w:rsid w:val="00832CD1"/>
    <w:rsid w:val="00837BE5"/>
    <w:rsid w:val="00843E68"/>
    <w:rsid w:val="0085074A"/>
    <w:rsid w:val="008A1792"/>
    <w:rsid w:val="008C0EAB"/>
    <w:rsid w:val="008C37B1"/>
    <w:rsid w:val="008C44E0"/>
    <w:rsid w:val="008F59BA"/>
    <w:rsid w:val="00907C7A"/>
    <w:rsid w:val="00910C94"/>
    <w:rsid w:val="00912E1C"/>
    <w:rsid w:val="00926653"/>
    <w:rsid w:val="00946C52"/>
    <w:rsid w:val="0095477D"/>
    <w:rsid w:val="00966ED8"/>
    <w:rsid w:val="00984288"/>
    <w:rsid w:val="00985F46"/>
    <w:rsid w:val="00987BD9"/>
    <w:rsid w:val="009E5E80"/>
    <w:rsid w:val="00A076D8"/>
    <w:rsid w:val="00A12133"/>
    <w:rsid w:val="00A35EB3"/>
    <w:rsid w:val="00A3737D"/>
    <w:rsid w:val="00A45DFE"/>
    <w:rsid w:val="00A56665"/>
    <w:rsid w:val="00A66493"/>
    <w:rsid w:val="00A920BD"/>
    <w:rsid w:val="00A9333F"/>
    <w:rsid w:val="00AC2C13"/>
    <w:rsid w:val="00AC6DC8"/>
    <w:rsid w:val="00AF30BF"/>
    <w:rsid w:val="00B0381E"/>
    <w:rsid w:val="00B15C91"/>
    <w:rsid w:val="00B175BA"/>
    <w:rsid w:val="00B47427"/>
    <w:rsid w:val="00B515BB"/>
    <w:rsid w:val="00B5653E"/>
    <w:rsid w:val="00B8168D"/>
    <w:rsid w:val="00B94D17"/>
    <w:rsid w:val="00BB5152"/>
    <w:rsid w:val="00BC0EEB"/>
    <w:rsid w:val="00BC1512"/>
    <w:rsid w:val="00C071D8"/>
    <w:rsid w:val="00C7510E"/>
    <w:rsid w:val="00C95C3A"/>
    <w:rsid w:val="00CD34E5"/>
    <w:rsid w:val="00CD6D08"/>
    <w:rsid w:val="00CE6165"/>
    <w:rsid w:val="00CF1484"/>
    <w:rsid w:val="00D14216"/>
    <w:rsid w:val="00D424D3"/>
    <w:rsid w:val="00D512DA"/>
    <w:rsid w:val="00D52D4D"/>
    <w:rsid w:val="00D91DBE"/>
    <w:rsid w:val="00D96286"/>
    <w:rsid w:val="00DC4AAE"/>
    <w:rsid w:val="00DE25B5"/>
    <w:rsid w:val="00E05CA5"/>
    <w:rsid w:val="00E120D6"/>
    <w:rsid w:val="00E16139"/>
    <w:rsid w:val="00E34FED"/>
    <w:rsid w:val="00E628A7"/>
    <w:rsid w:val="00E71F98"/>
    <w:rsid w:val="00E74F51"/>
    <w:rsid w:val="00E76DC5"/>
    <w:rsid w:val="00E811E7"/>
    <w:rsid w:val="00E8254A"/>
    <w:rsid w:val="00E952CF"/>
    <w:rsid w:val="00E96131"/>
    <w:rsid w:val="00E965FD"/>
    <w:rsid w:val="00EA351A"/>
    <w:rsid w:val="00EB3D5C"/>
    <w:rsid w:val="00EC480A"/>
    <w:rsid w:val="00ED25C6"/>
    <w:rsid w:val="00ED3043"/>
    <w:rsid w:val="00ED5B17"/>
    <w:rsid w:val="00F15AF5"/>
    <w:rsid w:val="00F26B64"/>
    <w:rsid w:val="00F34001"/>
    <w:rsid w:val="00F7045F"/>
    <w:rsid w:val="00F97C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06705"/>
  <w15:chartTrackingRefBased/>
  <w15:docId w15:val="{89BA60DC-68DE-45CA-BCD4-02346E34D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sid w:val="00185091"/>
    <w:rPr>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5091"/>
    <w:pPr>
      <w:spacing w:after="0" w:line="240" w:lineRule="auto"/>
    </w:pPr>
    <w:rPr>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5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5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85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5337F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FootnoteText">
    <w:name w:val="footnote text"/>
    <w:basedOn w:val="Normal"/>
    <w:link w:val="FootnoteTextChar"/>
    <w:uiPriority w:val="99"/>
    <w:semiHidden/>
    <w:unhideWhenUsed/>
    <w:rsid w:val="00BB5152"/>
    <w:pPr>
      <w:spacing w:after="0" w:line="240" w:lineRule="auto"/>
    </w:pPr>
    <w:rPr>
      <w:sz w:val="20"/>
    </w:rPr>
  </w:style>
  <w:style w:type="character" w:customStyle="1" w:styleId="FootnoteTextChar">
    <w:name w:val="Footnote Text Char"/>
    <w:basedOn w:val="DefaultParagraphFont"/>
    <w:link w:val="FootnoteText"/>
    <w:uiPriority w:val="99"/>
    <w:semiHidden/>
    <w:rsid w:val="00BB515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طرح زمین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1334</TotalTime>
  <Pages>14</Pages>
  <Words>6437</Words>
  <Characters>36697</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NEGAR</dc:creator>
  <cp:keywords/>
  <dc:description/>
  <cp:lastModifiedBy>Windows User</cp:lastModifiedBy>
  <cp:revision>37</cp:revision>
  <dcterms:created xsi:type="dcterms:W3CDTF">2017-11-02T07:36:00Z</dcterms:created>
  <dcterms:modified xsi:type="dcterms:W3CDTF">2018-07-11T09:17:00Z</dcterms:modified>
</cp:coreProperties>
</file>